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A67C4" w14:textId="1B8AC10B" w:rsidR="00BA7DA0" w:rsidRDefault="00ED387B" w:rsidP="0F8D39D4">
      <w:pPr>
        <w:spacing w:after="0" w:line="0" w:lineRule="atLeast"/>
        <w:rPr>
          <w:b/>
          <w:bCs/>
          <w:sz w:val="20"/>
          <w:szCs w:val="20"/>
        </w:rPr>
      </w:pPr>
      <w:r w:rsidRPr="76A508B9">
        <w:rPr>
          <w:b/>
          <w:bCs/>
          <w:sz w:val="20"/>
          <w:szCs w:val="20"/>
        </w:rPr>
        <w:t>Wymagania edukacyjne i kryteria oceniania wiadomości i umiejętności z historii   w klasie 7</w:t>
      </w:r>
      <w:r w:rsidR="0AE14FA2" w:rsidRPr="76A508B9">
        <w:rPr>
          <w:b/>
          <w:bCs/>
          <w:sz w:val="20"/>
          <w:szCs w:val="20"/>
        </w:rPr>
        <w:t>b</w:t>
      </w:r>
    </w:p>
    <w:p w14:paraId="66CD199D" w14:textId="4A939FC7" w:rsidR="76A508B9" w:rsidRDefault="76A508B9" w:rsidP="76A508B9">
      <w:pPr>
        <w:spacing w:after="0" w:line="0" w:lineRule="atLeast"/>
        <w:rPr>
          <w:b/>
          <w:bCs/>
          <w:sz w:val="20"/>
          <w:szCs w:val="20"/>
        </w:rPr>
      </w:pPr>
    </w:p>
    <w:p w14:paraId="02E23617" w14:textId="0508A0C4" w:rsidR="00BA7DA0" w:rsidRPr="000C67C6" w:rsidRDefault="00C11251" w:rsidP="004D7B0B">
      <w:pPr>
        <w:spacing w:after="0" w:line="0" w:lineRule="atLeast"/>
        <w:rPr>
          <w:sz w:val="20"/>
          <w:szCs w:val="20"/>
        </w:rPr>
      </w:pPr>
      <w:r>
        <w:rPr>
          <w:sz w:val="20"/>
          <w:szCs w:val="20"/>
        </w:rPr>
        <w:t>Wymagania na oceny śródroczne i roczne</w:t>
      </w:r>
    </w:p>
    <w:tbl>
      <w:tblPr>
        <w:tblStyle w:val="Tabela-Siatka"/>
        <w:tblW w:w="151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289"/>
        <w:gridCol w:w="2977"/>
        <w:gridCol w:w="2977"/>
        <w:gridCol w:w="2835"/>
        <w:gridCol w:w="3118"/>
      </w:tblGrid>
      <w:tr w:rsidR="004D7B0B" w:rsidRPr="000C67C6" w14:paraId="2D639A98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A108A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Ocena dopuszczająca Uczeń: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3BF3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Ocena dostateczna Uczeń: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AD7F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 xml:space="preserve">Ocena dobra </w:t>
            </w:r>
          </w:p>
          <w:p w14:paraId="45B5C145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Uczeń: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44FA0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 xml:space="preserve">Ocena bardzo dobra </w:t>
            </w:r>
          </w:p>
          <w:p w14:paraId="4E2FABFA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Uczeń: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8385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 xml:space="preserve">Ocena celująca </w:t>
            </w:r>
          </w:p>
          <w:p w14:paraId="20F335CC" w14:textId="77777777" w:rsidR="004D7B0B" w:rsidRPr="000C67C6" w:rsidRDefault="004D7B0B" w:rsidP="004D7B0B">
            <w:pPr>
              <w:spacing w:after="0" w:line="0" w:lineRule="atLeast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Uczeń:</w:t>
            </w:r>
          </w:p>
        </w:tc>
      </w:tr>
      <w:tr w:rsidR="004D7B0B" w:rsidRPr="000C67C6" w14:paraId="00E01795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77F7A" w14:textId="0165307D" w:rsidR="004D7B0B" w:rsidRPr="000C67C6" w:rsidRDefault="004D7B0B" w:rsidP="004D7B0B">
            <w:pPr>
              <w:snapToGri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–:</w:t>
            </w:r>
            <w:r w:rsidRPr="00C777A3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Pr="005D0D29">
              <w:rPr>
                <w:rFonts w:ascii="Calibri" w:hAnsi="Calibri" w:cs="Times New Roman"/>
                <w:i/>
                <w:sz w:val="20"/>
                <w:szCs w:val="20"/>
              </w:rPr>
              <w:t>restauracja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t xml:space="preserve">, </w:t>
            </w:r>
            <w:r w:rsidRPr="005D0D29">
              <w:rPr>
                <w:rFonts w:ascii="Calibri" w:hAnsi="Calibri" w:cs="Times New Roman"/>
                <w:i/>
                <w:sz w:val="20"/>
                <w:szCs w:val="20"/>
              </w:rPr>
              <w:t>legitymizm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t xml:space="preserve">, </w:t>
            </w:r>
            <w:r w:rsidRPr="005D0D29">
              <w:rPr>
                <w:rFonts w:ascii="Calibri" w:hAnsi="Calibri" w:cs="Times New Roman"/>
                <w:i/>
                <w:sz w:val="20"/>
                <w:szCs w:val="20"/>
              </w:rPr>
              <w:t>równowaga europejska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t>;</w:t>
            </w:r>
          </w:p>
          <w:p w14:paraId="2B0225B1" w14:textId="77777777" w:rsidR="004D7B0B" w:rsidRPr="000C67C6" w:rsidRDefault="004D7B0B" w:rsidP="004D7B0B">
            <w:pPr>
              <w:snapToGri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z w:val="20"/>
                <w:szCs w:val="20"/>
              </w:rPr>
              <w:t>– zna daty obrad kongresu wiedeńskiego (1814–1815);</w:t>
            </w:r>
          </w:p>
          <w:p w14:paraId="42BD64FD" w14:textId="30B30052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083C" w14:textId="49D77C4B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–:</w:t>
            </w:r>
            <w:r w:rsidRPr="00C777A3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abdykacja, Święte Przymierze;</w:t>
            </w:r>
          </w:p>
          <w:p w14:paraId="6381B83F" w14:textId="2E210ED0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prezentuje główne założenia ładu wiedeńskiego;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0876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color w:val="000000" w:themeColor="text1"/>
                <w:sz w:val="20"/>
                <w:szCs w:val="20"/>
              </w:rPr>
            </w:pP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>− przedstawia i wskazuje na mapie zmiany terytorialne w Europie po kongresie wiedeńskim.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26E0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color w:val="000000" w:themeColor="text1"/>
                <w:sz w:val="20"/>
                <w:szCs w:val="20"/>
              </w:rPr>
            </w:pP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>− ocenia zasady, na których podstawie stworzono ład wiedeński;</w:t>
            </w:r>
          </w:p>
          <w:p w14:paraId="7FB3F0AF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– przedstawia </w:t>
            </w: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br/>
              <w:t>działalność Świętego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t xml:space="preserve"> Przymierza.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56A3A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z w:val="20"/>
                <w:szCs w:val="20"/>
              </w:rPr>
              <w:t xml:space="preserve">– ocenia postawę Napoleona 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br/>
              <w:t xml:space="preserve">i Francuzów 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br/>
              <w:t>w okresie jego powrotu do kraju;</w:t>
            </w:r>
          </w:p>
          <w:p w14:paraId="1FA10F99" w14:textId="00B76C6C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4D7B0B" w:rsidRPr="000C67C6" w14:paraId="10835244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9318" w14:textId="45AB2A1F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Pr="00C777A3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: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962A60">
              <w:rPr>
                <w:rFonts w:ascii="Calibri" w:hAnsi="Calibri" w:cs="HelveticaNeueLTPro-Roman"/>
                <w:i/>
                <w:sz w:val="20"/>
                <w:szCs w:val="20"/>
              </w:rPr>
              <w:t>rewolucja przemysłowa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962A60">
              <w:rPr>
                <w:rFonts w:ascii="Calibri" w:hAnsi="Calibri" w:cs="HelveticaNeueLTPro-Roman"/>
                <w:i/>
                <w:sz w:val="20"/>
                <w:szCs w:val="20"/>
              </w:rPr>
              <w:t>maszyna parowa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962A60">
              <w:rPr>
                <w:rFonts w:ascii="Calibri" w:hAnsi="Calibri" w:cs="HelveticaNeueLTPro-Roman"/>
                <w:i/>
                <w:sz w:val="20"/>
                <w:szCs w:val="20"/>
              </w:rPr>
              <w:t>manufaktura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6A0FF01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A9D18" w14:textId="7D3944EE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Pr="00C777A3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: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industrializacja, urbanizacja, kapitalizm;</w:t>
            </w:r>
          </w:p>
          <w:p w14:paraId="61BE9022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wymienia gałęzie przemysłu, które </w:t>
            </w: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rozwinęły się dzięki zastosowaniu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maszyny parowej;</w:t>
            </w:r>
          </w:p>
          <w:p w14:paraId="66AC4D21" w14:textId="19FE3A76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8C3D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zna zasady kapitalizmu;</w:t>
            </w:r>
          </w:p>
          <w:p w14:paraId="7FF5C371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wskazuje na mapie państwa, na których terenie rozwinęły się </w:t>
            </w:r>
            <w:r w:rsidRPr="000C67C6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w XIX w. najważniejsze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zagłębia przemysłowe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Europy;</w:t>
            </w:r>
          </w:p>
          <w:p w14:paraId="1257CA9A" w14:textId="49159131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35DC" w14:textId="488AA214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Pr="00C777A3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: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cywilizacja przemysłowa, metropolia</w:t>
            </w:r>
            <w:r>
              <w:rPr>
                <w:rFonts w:ascii="Calibri" w:hAnsi="Calibri" w:cs="HelveticaNeueLTPro-Roman"/>
                <w:sz w:val="20"/>
                <w:szCs w:val="20"/>
              </w:rPr>
              <w:t>, industrializacja</w:t>
            </w:r>
          </w:p>
          <w:p w14:paraId="7D303B1F" w14:textId="17D371F4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wynalezienia elektryczności dla rozwoju przemysłu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i komunikacji;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0089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wyjaśnia okoliczności narodzin przemysłu w XIX w.;</w:t>
            </w:r>
          </w:p>
          <w:p w14:paraId="77764D60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ocenia gospodarcze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 xml:space="preserve">i społeczne skutki rozwoju przemysłu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w XIX w.</w:t>
            </w:r>
          </w:p>
        </w:tc>
      </w:tr>
      <w:tr w:rsidR="004D7B0B" w:rsidRPr="000C67C6" w14:paraId="0BC3AD45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059AB" w14:textId="1A2A8CAD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Pr="00C777A3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: </w:t>
            </w:r>
            <w:r w:rsidRPr="00CA1A3B">
              <w:rPr>
                <w:rFonts w:cs="Humanst521EU-Normal"/>
                <w:i/>
                <w:sz w:val="20"/>
                <w:szCs w:val="20"/>
              </w:rPr>
              <w:t>ideologia</w:t>
            </w:r>
            <w:r w:rsidRPr="000C67C6">
              <w:rPr>
                <w:rFonts w:cs="Humanst521EU-Normal"/>
                <w:sz w:val="20"/>
                <w:szCs w:val="20"/>
              </w:rPr>
              <w:t xml:space="preserve">, </w:t>
            </w:r>
            <w:r w:rsidRPr="00CA1A3B">
              <w:rPr>
                <w:rFonts w:ascii="Calibri" w:hAnsi="Calibri" w:cs="HelveticaNeueLTPro-Roman"/>
                <w:i/>
                <w:sz w:val="20"/>
                <w:szCs w:val="20"/>
              </w:rPr>
              <w:t>proletariat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CA1A3B">
              <w:rPr>
                <w:rFonts w:ascii="Calibri" w:hAnsi="Calibri" w:cs="HelveticaNeueLTPro-Roman"/>
                <w:i/>
                <w:sz w:val="20"/>
                <w:szCs w:val="20"/>
              </w:rPr>
              <w:t>strajk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CA1A3B">
              <w:rPr>
                <w:rFonts w:cs="Humanst521EU-Normal"/>
                <w:i/>
                <w:color w:val="000000" w:themeColor="text1"/>
                <w:sz w:val="20"/>
                <w:szCs w:val="20"/>
              </w:rPr>
              <w:t>fabrykanci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739CB1A9" w14:textId="25C74C19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CEED9" w14:textId="2C13B679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sz w:val="20"/>
                <w:szCs w:val="20"/>
              </w:rPr>
            </w:pP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>−</w:t>
            </w:r>
            <w:r w:rsidRPr="00C777A3">
              <w:rPr>
                <w:rFonts w:cs="Humanst521EU-Normal"/>
                <w:color w:val="000000" w:themeColor="text1"/>
                <w:sz w:val="20"/>
                <w:szCs w:val="20"/>
              </w:rPr>
              <w:t>zna pojęcia</w:t>
            </w: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 xml:space="preserve">: </w:t>
            </w:r>
            <w:r w:rsidRPr="00DA0FC3">
              <w:rPr>
                <w:rFonts w:cs="Humanst521EU-Normal"/>
                <w:i/>
                <w:sz w:val="20"/>
                <w:szCs w:val="20"/>
              </w:rPr>
              <w:t>liberalizm</w:t>
            </w:r>
            <w:r w:rsidRPr="000C67C6">
              <w:rPr>
                <w:rFonts w:cs="Humanst521EU-Normal"/>
                <w:sz w:val="20"/>
                <w:szCs w:val="20"/>
              </w:rPr>
              <w:t xml:space="preserve">, </w:t>
            </w:r>
            <w:r w:rsidRPr="00DA0FC3">
              <w:rPr>
                <w:rFonts w:cs="Humanst521EU-Normal"/>
                <w:i/>
                <w:sz w:val="20"/>
                <w:szCs w:val="20"/>
              </w:rPr>
              <w:t>konserwatyzm</w:t>
            </w:r>
            <w:r w:rsidRPr="000C67C6">
              <w:rPr>
                <w:rFonts w:cs="Humanst521EU-Normal"/>
                <w:sz w:val="20"/>
                <w:szCs w:val="20"/>
              </w:rPr>
              <w:t xml:space="preserve">, </w:t>
            </w:r>
            <w:r w:rsidRPr="00DA0FC3">
              <w:rPr>
                <w:rFonts w:cs="Humanst521EU-Normal"/>
                <w:i/>
                <w:sz w:val="20"/>
                <w:szCs w:val="20"/>
              </w:rPr>
              <w:t>socjalizm</w:t>
            </w:r>
            <w:r w:rsidRPr="000C67C6">
              <w:rPr>
                <w:rFonts w:cs="Humanst521EU-Normal"/>
                <w:sz w:val="20"/>
                <w:szCs w:val="20"/>
              </w:rPr>
              <w:t>,</w:t>
            </w:r>
          </w:p>
          <w:p w14:paraId="2D23D6FF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</w:pPr>
            <w:r w:rsidRPr="00DA0FC3">
              <w:rPr>
                <w:rFonts w:cs="Humanst521EU-Normal"/>
                <w:i/>
                <w:sz w:val="20"/>
                <w:szCs w:val="20"/>
              </w:rPr>
              <w:t>komunizm</w:t>
            </w:r>
            <w:r w:rsidRPr="000C67C6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, </w:t>
            </w:r>
            <w:r w:rsidRPr="00DA0FC3">
              <w:rPr>
                <w:rFonts w:ascii="Calibri" w:hAnsi="Calibri" w:cs="HelveticaNeueLTPro-Roman"/>
                <w:i/>
                <w:sz w:val="20"/>
                <w:szCs w:val="20"/>
              </w:rPr>
              <w:t>związek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DA0FC3">
              <w:rPr>
                <w:rFonts w:ascii="Calibri" w:hAnsi="Calibri" w:cs="HelveticaNeueLTPro-Roman"/>
                <w:i/>
                <w:sz w:val="20"/>
                <w:szCs w:val="20"/>
              </w:rPr>
              <w:t>zawodowy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7608793E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39193" w14:textId="0020597A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przedstawi</w:t>
            </w:r>
            <w:r>
              <w:rPr>
                <w:rFonts w:ascii="Calibri" w:hAnsi="Calibri" w:cs="HelveticaNeueLTPro-Roman"/>
                <w:sz w:val="20"/>
                <w:szCs w:val="20"/>
              </w:rPr>
              <w:t>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warunki pracy dzieci w XIX wiecznych fabrykach;</w:t>
            </w: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br/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przedstawia okoliczności narodzin </w:t>
            </w:r>
            <w:proofErr w:type="spellStart"/>
            <w:r w:rsidRPr="000C67C6">
              <w:rPr>
                <w:rFonts w:ascii="Calibri" w:hAnsi="Calibri" w:cs="HelveticaNeueLTPro-Roman"/>
                <w:sz w:val="20"/>
                <w:szCs w:val="20"/>
              </w:rPr>
              <w:t>liberalizmu,konserwatyzu</w:t>
            </w:r>
            <w:proofErr w:type="spellEnd"/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i ruchu robotniczego.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780F" w14:textId="4D03C75F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color w:val="000000" w:themeColor="text1"/>
                <w:sz w:val="20"/>
                <w:szCs w:val="20"/>
              </w:rPr>
            </w:pP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>−</w:t>
            </w:r>
            <w:r w:rsidRPr="00C777A3">
              <w:rPr>
                <w:rFonts w:cs="Humanst521EU-Normal"/>
                <w:color w:val="000000" w:themeColor="text1"/>
                <w:sz w:val="20"/>
                <w:szCs w:val="20"/>
              </w:rPr>
              <w:t>zna pojęcia</w:t>
            </w: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 xml:space="preserve">: wolna konkurencja, liberalizm ekonomiczny, </w:t>
            </w:r>
            <w:r w:rsidRPr="000C67C6">
              <w:rPr>
                <w:rFonts w:cs="Humanst521EU-Normal"/>
                <w:i/>
                <w:color w:val="000000" w:themeColor="text1"/>
                <w:sz w:val="20"/>
                <w:szCs w:val="20"/>
              </w:rPr>
              <w:t>manifest komunistyczny</w:t>
            </w: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>;</w:t>
            </w:r>
          </w:p>
          <w:p w14:paraId="4AAED87A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color w:val="000000" w:themeColor="text1"/>
                <w:sz w:val="20"/>
                <w:szCs w:val="20"/>
              </w:rPr>
            </w:pPr>
          </w:p>
          <w:p w14:paraId="778B2FDF" w14:textId="0B4C0066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709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ocenia wpływ nowych ideologii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 xml:space="preserve">na życie społeczne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 xml:space="preserve">i polityczne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w pierwszej połowie XIX w.;</w:t>
            </w:r>
          </w:p>
        </w:tc>
      </w:tr>
      <w:tr w:rsidR="004D7B0B" w:rsidRPr="000C67C6" w14:paraId="022684AB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ACEA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zna datę powstania Królestwa Polskiego, Wielkiego Księstwa Poznańskiego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i Wolnego Miasta Krakowa (1815);</w:t>
            </w:r>
          </w:p>
          <w:p w14:paraId="58BD7500" w14:textId="50688FE9" w:rsidR="004D7B0B" w:rsidRPr="00C777A3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wymieni</w:t>
            </w:r>
            <w:r>
              <w:rPr>
                <w:rFonts w:ascii="Calibri" w:hAnsi="Calibri" w:cs="HelveticaNeueLTPro-Roman"/>
                <w:sz w:val="20"/>
                <w:szCs w:val="20"/>
              </w:rPr>
              <w:t>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ustalenia kongresu wiedeńskiego w sprawie ziem polskich.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E6540" w14:textId="2FEC094E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sz w:val="20"/>
                <w:szCs w:val="20"/>
              </w:rPr>
            </w:pPr>
            <w:r w:rsidRPr="000C67C6">
              <w:rPr>
                <w:rFonts w:cs="Humanst521EU-Normal"/>
                <w:sz w:val="20"/>
                <w:szCs w:val="20"/>
              </w:rPr>
              <w:t>−</w:t>
            </w:r>
            <w:r w:rsidRPr="00C777A3">
              <w:rPr>
                <w:rFonts w:cs="Humanst521EU-Normal"/>
                <w:sz w:val="20"/>
                <w:szCs w:val="20"/>
              </w:rPr>
              <w:t>zna pojęcia</w:t>
            </w:r>
            <w:r w:rsidRPr="000C67C6">
              <w:rPr>
                <w:rFonts w:cs="Humanst521EU-Normal"/>
                <w:sz w:val="20"/>
                <w:szCs w:val="20"/>
              </w:rPr>
              <w:t xml:space="preserve">: </w:t>
            </w:r>
            <w:r w:rsidRPr="00491C43">
              <w:rPr>
                <w:rFonts w:cs="Humanst521EU-Normal"/>
                <w:i/>
                <w:sz w:val="20"/>
                <w:szCs w:val="20"/>
              </w:rPr>
              <w:t>autonomia</w:t>
            </w:r>
            <w:r w:rsidRPr="000C67C6">
              <w:rPr>
                <w:rFonts w:cs="Humanst521EU-Normal"/>
                <w:sz w:val="20"/>
                <w:szCs w:val="20"/>
              </w:rPr>
              <w:t xml:space="preserve">, </w:t>
            </w:r>
            <w:r w:rsidRPr="00491C43">
              <w:rPr>
                <w:rFonts w:cs="Humanst521EU-Normal"/>
                <w:i/>
                <w:sz w:val="20"/>
                <w:szCs w:val="20"/>
              </w:rPr>
              <w:t>Galicja</w:t>
            </w:r>
            <w:r w:rsidRPr="000C67C6">
              <w:rPr>
                <w:rFonts w:cs="Humanst521EU-Normal"/>
                <w:sz w:val="20"/>
                <w:szCs w:val="20"/>
              </w:rPr>
              <w:t xml:space="preserve">, </w:t>
            </w:r>
            <w:r w:rsidRPr="00491C43">
              <w:rPr>
                <w:rFonts w:cs="Humanst521EU-Normal"/>
                <w:i/>
                <w:sz w:val="20"/>
                <w:szCs w:val="20"/>
              </w:rPr>
              <w:t>unia personalna</w:t>
            </w:r>
            <w:r w:rsidRPr="000C67C6">
              <w:rPr>
                <w:rFonts w:cs="Humanst521EU-Normal"/>
                <w:sz w:val="20"/>
                <w:szCs w:val="20"/>
              </w:rPr>
              <w:t>;</w:t>
            </w:r>
          </w:p>
          <w:p w14:paraId="2FBF49CD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color w:val="00B0F0"/>
                <w:sz w:val="20"/>
                <w:szCs w:val="20"/>
              </w:rPr>
            </w:pPr>
          </w:p>
          <w:p w14:paraId="587F198F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charakteryzuje ustrój Królestwa Polskiego;</w:t>
            </w:r>
          </w:p>
          <w:p w14:paraId="447F2143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62D00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charakteryzuje ustrój Wielkiego Księstwa Poznańskiego;</w:t>
            </w:r>
          </w:p>
          <w:p w14:paraId="6B6938D5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opisuje ustrój Rzeczypospolitej Krakowskiej;</w:t>
            </w:r>
          </w:p>
          <w:p w14:paraId="6D604A15" w14:textId="29377AA3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72AE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wskazuje na mapie najważniejsze okręgi przemysłowe w Królestwie Polskim;</w:t>
            </w:r>
          </w:p>
          <w:p w14:paraId="5ACB32B5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pacing w:val="-4"/>
                <w:kern w:val="24"/>
                <w:sz w:val="20"/>
                <w:szCs w:val="20"/>
              </w:rPr>
            </w:pPr>
            <w:r w:rsidRPr="000C67C6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– porównuje sytuację gospodarczą ziem </w:t>
            </w:r>
            <w:r w:rsidRPr="000C67C6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polskich pod zaborami.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3E1F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ocenia skutki reformy uwłaszczeniowej </w:t>
            </w:r>
            <w:r w:rsidRPr="000C67C6">
              <w:rPr>
                <w:rFonts w:ascii="Calibri" w:hAnsi="Calibri"/>
                <w:sz w:val="20"/>
                <w:szCs w:val="20"/>
              </w:rPr>
              <w:br/>
              <w:t>w zaborze pruskim;</w:t>
            </w:r>
          </w:p>
          <w:p w14:paraId="070CF91E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ocenia rozwój gospodarczy Królestwa Polskiego;</w:t>
            </w:r>
          </w:p>
          <w:p w14:paraId="17BD9CD0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after="0" w:line="0" w:lineRule="atLeast"/>
              <w:rPr>
                <w:rFonts w:cs="Humanst521EU-Normal"/>
                <w:color w:val="000000" w:themeColor="text1"/>
                <w:sz w:val="20"/>
                <w:szCs w:val="20"/>
              </w:rPr>
            </w:pPr>
            <w:r w:rsidRPr="000C67C6">
              <w:rPr>
                <w:rFonts w:cs="Humanst521EU-Normal"/>
                <w:color w:val="000000" w:themeColor="text1"/>
                <w:sz w:val="20"/>
                <w:szCs w:val="20"/>
              </w:rPr>
              <w:t>− wymienia wady i zalety ustroju Królestwa Polskiego.</w:t>
            </w:r>
          </w:p>
          <w:p w14:paraId="603591C8" w14:textId="77777777" w:rsidR="004D7B0B" w:rsidRPr="000C67C6" w:rsidRDefault="004D7B0B" w:rsidP="004D7B0B">
            <w:pPr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</w:tr>
      <w:tr w:rsidR="004D7B0B" w:rsidRPr="000C67C6" w14:paraId="0EF1BD5A" w14:textId="77777777" w:rsidTr="0F8D39D4">
        <w:trPr>
          <w:trHeight w:val="1881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D252F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zna daty: wybuchu powstania listopadowego (29/30 XI 1830);</w:t>
            </w:r>
          </w:p>
          <w:p w14:paraId="4EC8E893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wymienia przyczyny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powstania listopadowego.</w:t>
            </w:r>
          </w:p>
          <w:p w14:paraId="0C8F29B2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972FE5" w14:textId="50078F9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ind w:right="-108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–:</w:t>
            </w:r>
            <w:r w:rsidRPr="00C777A3">
              <w:rPr>
                <w:rFonts w:ascii="Calibri" w:hAnsi="Calibri" w:cs="HelveticaNeueLTPro-Roman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15264C">
              <w:rPr>
                <w:rFonts w:ascii="Calibri" w:hAnsi="Calibri" w:cs="HelveticaNeueLTPro-Roman"/>
                <w:i/>
                <w:sz w:val="20"/>
                <w:szCs w:val="20"/>
              </w:rPr>
              <w:t>cenzura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15264C">
              <w:rPr>
                <w:rFonts w:ascii="Calibri" w:hAnsi="Calibri" w:cs="HelveticaNeueLTPro-Roman"/>
                <w:i/>
                <w:sz w:val="20"/>
                <w:szCs w:val="20"/>
              </w:rPr>
              <w:t>konspiracja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15264C">
              <w:rPr>
                <w:rFonts w:ascii="Calibri" w:hAnsi="Calibri" w:cs="HelveticaNeueLTPro-Roman"/>
                <w:i/>
                <w:sz w:val="20"/>
                <w:szCs w:val="20"/>
              </w:rPr>
              <w:t>dyktator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  <w:r w:rsidRPr="000C67C6">
              <w:rPr>
                <w:rFonts w:ascii="Calibri" w:hAnsi="Calibri" w:cs="HelveticaNeueLTPro-Roman"/>
                <w:color w:val="00B0F0"/>
                <w:sz w:val="20"/>
                <w:szCs w:val="20"/>
              </w:rPr>
              <w:br/>
            </w:r>
            <w:r w:rsidRPr="000C67C6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– identyfikuje postacie: Aleksandra I, Józefa Chłopickiego,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Mikołaja I, </w:t>
            </w:r>
          </w:p>
          <w:p w14:paraId="0701869B" w14:textId="68AF9BC8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 wymienia przykłady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organizacji spiskowych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i ich cele;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B3E69A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identyfikuje postacie: Ignacego Prądzyńskiego, Emilii Plater;</w:t>
            </w:r>
          </w:p>
          <w:p w14:paraId="6F617E02" w14:textId="0FC3E186" w:rsidR="004D7B0B" w:rsidRPr="0070193A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– wskazuje na mapie </w:t>
            </w:r>
            <w:r w:rsidRPr="000C67C6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miejsca najważniejszych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bitew powstania listopadowego;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F896C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>
              <w:rPr>
                <w:rFonts w:ascii="Calibri" w:hAnsi="Calibri" w:cs="HelveticaNeueLTPro-Roman"/>
                <w:sz w:val="20"/>
                <w:szCs w:val="20"/>
              </w:rPr>
              <w:t>– opisuje przebieg wojny polsko-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rosyjskiej;</w:t>
            </w:r>
          </w:p>
          <w:p w14:paraId="0F6DF4AC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pacing w:val="-4"/>
                <w:kern w:val="24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przedstawia przebieg walk powstańczych poza Królestwem Polskim.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46B36" w14:textId="64C582AA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– ocenia, czy powstanie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listopadowe miało szanse po</w:t>
            </w:r>
            <w:r>
              <w:rPr>
                <w:rFonts w:ascii="Calibri" w:hAnsi="Calibri" w:cs="HelveticaNeueLTPro-Roman"/>
                <w:sz w:val="20"/>
                <w:szCs w:val="20"/>
              </w:rPr>
              <w:t>w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odzenia.</w:t>
            </w:r>
          </w:p>
        </w:tc>
      </w:tr>
      <w:tr w:rsidR="004D7B0B" w:rsidRPr="000C67C6" w14:paraId="4702D13B" w14:textId="77777777" w:rsidTr="0F8D39D4">
        <w:trPr>
          <w:trHeight w:val="1456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7ABF9" w14:textId="750A152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2A4C13">
              <w:rPr>
                <w:rFonts w:ascii="Calibri" w:hAnsi="Calibri" w:cs="HelveticaNeueLTPro-Roman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: </w:t>
            </w:r>
            <w:r w:rsidRPr="00B9553B">
              <w:rPr>
                <w:rFonts w:ascii="Calibri" w:hAnsi="Calibri" w:cs="HelveticaNeueLTPro-Roman"/>
                <w:i/>
                <w:sz w:val="20"/>
                <w:szCs w:val="20"/>
              </w:rPr>
              <w:t>rusyfikacja</w:t>
            </w: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,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B9553B">
              <w:rPr>
                <w:rFonts w:ascii="Calibri" w:hAnsi="Calibri" w:cs="HelveticaNeueLTPro-Roman"/>
                <w:i/>
                <w:sz w:val="20"/>
                <w:szCs w:val="20"/>
              </w:rPr>
              <w:t>Wielka Emigracja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6F6F0C13" w14:textId="748C7B7F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F515" w14:textId="3F7688C8" w:rsidR="004D7B0B" w:rsidRPr="002A4C13" w:rsidRDefault="004D7B0B" w:rsidP="004D7B0B">
            <w:pPr>
              <w:pStyle w:val="Bezodstpw"/>
              <w:spacing w:line="0" w:lineRule="atLeast"/>
              <w:rPr>
                <w:sz w:val="20"/>
                <w:szCs w:val="20"/>
              </w:rPr>
            </w:pPr>
            <w:r w:rsidRPr="006909DC">
              <w:rPr>
                <w:sz w:val="20"/>
                <w:szCs w:val="20"/>
              </w:rPr>
              <w:t>–</w:t>
            </w:r>
            <w:r w:rsidRPr="002A4C13">
              <w:rPr>
                <w:sz w:val="20"/>
                <w:szCs w:val="20"/>
              </w:rPr>
              <w:t>zna pojęcia</w:t>
            </w:r>
            <w:r w:rsidRPr="006909DC">
              <w:rPr>
                <w:sz w:val="20"/>
                <w:szCs w:val="20"/>
              </w:rPr>
              <w:t xml:space="preserve">: </w:t>
            </w:r>
            <w:r w:rsidRPr="005F5A23">
              <w:rPr>
                <w:i/>
                <w:sz w:val="20"/>
                <w:szCs w:val="20"/>
              </w:rPr>
              <w:t>zsyłka</w:t>
            </w:r>
            <w:r w:rsidRPr="006909DC">
              <w:rPr>
                <w:sz w:val="20"/>
                <w:szCs w:val="20"/>
              </w:rPr>
              <w:t xml:space="preserve">, </w:t>
            </w:r>
            <w:r w:rsidRPr="005F5A23">
              <w:rPr>
                <w:i/>
                <w:sz w:val="20"/>
                <w:szCs w:val="20"/>
              </w:rPr>
              <w:t>represja</w:t>
            </w:r>
            <w:r w:rsidRPr="006909DC">
              <w:rPr>
                <w:sz w:val="20"/>
                <w:szCs w:val="20"/>
              </w:rPr>
              <w:t xml:space="preserve">, </w:t>
            </w:r>
            <w:r w:rsidRPr="005F5A23">
              <w:rPr>
                <w:i/>
                <w:sz w:val="20"/>
                <w:szCs w:val="20"/>
              </w:rPr>
              <w:t>emisariusz</w:t>
            </w:r>
            <w:r w:rsidRPr="006909DC">
              <w:rPr>
                <w:sz w:val="20"/>
                <w:szCs w:val="20"/>
              </w:rPr>
              <w:t>;</w:t>
            </w:r>
            <w:r w:rsidRPr="002A4C13">
              <w:rPr>
                <w:rFonts w:ascii="Calibri" w:hAnsi="Calibri" w:cs="HelveticaNeueLTPro-Roman"/>
                <w:i/>
                <w:sz w:val="20"/>
                <w:szCs w:val="20"/>
              </w:rPr>
              <w:t xml:space="preserve"> </w:t>
            </w:r>
            <w:r w:rsidRPr="002A4C13">
              <w:rPr>
                <w:i/>
                <w:sz w:val="20"/>
                <w:szCs w:val="20"/>
              </w:rPr>
              <w:t>rabacja</w:t>
            </w:r>
            <w:r w:rsidRPr="002A4C13">
              <w:rPr>
                <w:sz w:val="20"/>
                <w:szCs w:val="20"/>
              </w:rPr>
              <w:t xml:space="preserve"> </w:t>
            </w:r>
            <w:r w:rsidRPr="002A4C13">
              <w:rPr>
                <w:i/>
                <w:sz w:val="20"/>
                <w:szCs w:val="20"/>
              </w:rPr>
              <w:t>galicyjska</w:t>
            </w:r>
          </w:p>
          <w:p w14:paraId="1B5869D5" w14:textId="33F83A26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omawia przykłady polityki władz rosyjskich wobec Królestwa Polskiego</w:t>
            </w:r>
            <w:r w:rsidRPr="000C67C6">
              <w:rPr>
                <w:rFonts w:ascii="Calibri" w:hAnsi="Calibri"/>
                <w:color w:val="00B0F0"/>
                <w:sz w:val="20"/>
                <w:szCs w:val="20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2542E" w14:textId="14BC33ED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>
              <w:rPr>
                <w:rFonts w:ascii="Calibri" w:hAnsi="Calibri" w:cs="HelveticaNeueLTPro-Roman"/>
                <w:sz w:val="20"/>
                <w:szCs w:val="20"/>
              </w:rPr>
              <w:t>-zna ugrupowania, które powstały podczas wielkiej emigracji</w:t>
            </w:r>
            <w:r w:rsidRPr="000C67C6">
              <w:rPr>
                <w:rFonts w:ascii="Calibri" w:hAnsi="Calibri" w:cs="HelveticaNeueLTPro-Roman"/>
                <w:color w:val="00B0F0"/>
                <w:sz w:val="20"/>
                <w:szCs w:val="20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E1E47" w14:textId="530F5F32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omawia represje popowstaniowe </w:t>
            </w:r>
            <w:r w:rsidRPr="000C67C6">
              <w:rPr>
                <w:rFonts w:ascii="Calibri" w:hAnsi="Calibri"/>
                <w:sz w:val="20"/>
                <w:szCs w:val="20"/>
              </w:rPr>
              <w:br/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8611F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ocenia politykę władz zaborczych wobec Polaków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 upadku powstania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listopadowego.</w:t>
            </w:r>
          </w:p>
        </w:tc>
      </w:tr>
      <w:tr w:rsidR="004D7B0B" w:rsidRPr="000C67C6" w14:paraId="6FB823A1" w14:textId="77777777" w:rsidTr="0F8D39D4">
        <w:trPr>
          <w:trHeight w:val="1407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D76D" w14:textId="7C806DF5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F8D39D4">
              <w:rPr>
                <w:rFonts w:ascii="Calibri" w:hAnsi="Calibri" w:cs="HelveticaNeueLTPro-Roman"/>
                <w:sz w:val="20"/>
                <w:szCs w:val="20"/>
              </w:rPr>
              <w:t>-</w:t>
            </w:r>
            <w:r w:rsidRPr="0F8D39D4">
              <w:rPr>
                <w:rFonts w:ascii="Calibri" w:hAnsi="Calibri" w:cs="HelveticaNeueLTPro-Roman"/>
                <w:i/>
                <w:iCs/>
                <w:sz w:val="20"/>
                <w:szCs w:val="20"/>
              </w:rPr>
              <w:t xml:space="preserve"> rabacja</w:t>
            </w:r>
            <w:r w:rsidRPr="0F8D39D4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proofErr w:type="spellStart"/>
            <w:r w:rsidRPr="0F8D39D4">
              <w:rPr>
                <w:rFonts w:ascii="Calibri" w:hAnsi="Calibri" w:cs="HelveticaNeueLTPro-Roman"/>
                <w:i/>
                <w:iCs/>
                <w:sz w:val="20"/>
                <w:szCs w:val="20"/>
              </w:rPr>
              <w:t>galicyjska</w:t>
            </w:r>
            <w:r w:rsidR="613D9B5E" w:rsidRPr="0F8D39D4">
              <w:rPr>
                <w:rFonts w:ascii="Calibri" w:hAnsi="Calibri" w:cs="HelveticaNeueLTPro-Roman"/>
                <w:i/>
                <w:iCs/>
                <w:sz w:val="20"/>
                <w:szCs w:val="20"/>
              </w:rPr>
              <w:t>,</w:t>
            </w:r>
            <w:r w:rsidRPr="0F8D39D4">
              <w:rPr>
                <w:rFonts w:ascii="Calibri" w:hAnsi="Calibri" w:cs="HelveticaNeueLTPro-Roman"/>
                <w:sz w:val="20"/>
                <w:szCs w:val="20"/>
              </w:rPr>
              <w:t>romantyzm</w:t>
            </w:r>
            <w:proofErr w:type="spellEnd"/>
            <w:r w:rsidRPr="0F8D39D4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4C038F95" w14:textId="2587F67F" w:rsidR="004D7B0B" w:rsidRPr="002A4C13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identyfikuje postacie: Adama Mickiewicza, Juliusza Słowackiego, Fryderyka Chopina;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9C35" w14:textId="683C5C6D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2A4C13">
              <w:rPr>
                <w:rFonts w:ascii="Calibri" w:hAnsi="Calibri" w:cs="HelveticaNeueLTPro-Roman"/>
                <w:i/>
                <w:sz w:val="20"/>
                <w:szCs w:val="20"/>
              </w:rPr>
              <w:t xml:space="preserve"> rabacja</w:t>
            </w:r>
            <w:r w:rsidRPr="002A4C13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2A4C13">
              <w:rPr>
                <w:rFonts w:ascii="Calibri" w:hAnsi="Calibri" w:cs="HelveticaNeueLTPro-Roman"/>
                <w:i/>
                <w:sz w:val="20"/>
                <w:szCs w:val="20"/>
              </w:rPr>
              <w:t>galicyjska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: </w:t>
            </w:r>
            <w:r w:rsidRPr="00463983">
              <w:rPr>
                <w:rFonts w:ascii="Calibri" w:hAnsi="Calibri" w:cs="HelveticaNeueLTPro-Roman"/>
                <w:i/>
                <w:sz w:val="20"/>
                <w:szCs w:val="20"/>
              </w:rPr>
              <w:t>racjonalizm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463983">
              <w:rPr>
                <w:rFonts w:ascii="Calibri" w:hAnsi="Calibri" w:cs="HelveticaNeueLTPro-Roman"/>
                <w:i/>
                <w:spacing w:val="-8"/>
                <w:kern w:val="24"/>
                <w:sz w:val="20"/>
                <w:szCs w:val="20"/>
              </w:rPr>
              <w:t>mesjanizm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179D5" w14:textId="293819A3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charakteryzuje warunki, w jakich ukształtował się polski romantyzm;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012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przedstawia sytuację kultury polskiej po utracie niepodległości</w:t>
            </w:r>
            <w:r w:rsidRPr="000C67C6">
              <w:rPr>
                <w:rFonts w:ascii="Calibri" w:hAnsi="Calibri"/>
                <w:color w:val="00B0F0"/>
                <w:sz w:val="20"/>
                <w:szCs w:val="20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6687" w14:textId="77777777" w:rsidR="004D7B0B" w:rsidRPr="000C67C6" w:rsidRDefault="004D7B0B" w:rsidP="004D7B0B">
            <w:pPr>
              <w:spacing w:after="0" w:line="0" w:lineRule="atLeast"/>
              <w:rPr>
                <w:rFonts w:cstheme="minorHAns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ocenia wpływ romantyzmu na niepodległościowe postawy Polaków</w:t>
            </w:r>
          </w:p>
        </w:tc>
      </w:tr>
      <w:tr w:rsidR="004D7B0B" w:rsidRPr="000C67C6" w14:paraId="131B61B4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E40A9" w14:textId="00E653ED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C71FD6">
              <w:rPr>
                <w:rFonts w:ascii="Calibri" w:hAnsi="Calibri" w:cs="HelveticaNeueLTPro-Roman"/>
                <w:i/>
                <w:sz w:val="20"/>
                <w:szCs w:val="20"/>
              </w:rPr>
              <w:t>secesja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C71FD6">
              <w:rPr>
                <w:rFonts w:ascii="Calibri" w:hAnsi="Calibri" w:cs="HelveticaNeueLTPro-Roman"/>
                <w:i/>
                <w:sz w:val="20"/>
                <w:szCs w:val="20"/>
              </w:rPr>
              <w:t>Północ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C71FD6">
              <w:rPr>
                <w:rFonts w:ascii="Calibri" w:hAnsi="Calibri" w:cs="HelveticaNeueLTPro-Roman"/>
                <w:i/>
                <w:sz w:val="20"/>
                <w:szCs w:val="20"/>
              </w:rPr>
              <w:t>Południe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C71FD6">
              <w:rPr>
                <w:rFonts w:ascii="Calibri" w:hAnsi="Calibri" w:cs="HelveticaNeueLTPro-Roman"/>
                <w:i/>
                <w:sz w:val="20"/>
                <w:szCs w:val="20"/>
              </w:rPr>
              <w:t>dyskryminacja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44536837" w14:textId="77777777" w:rsidR="004D7B0B" w:rsidRPr="00060FFA" w:rsidRDefault="004D7B0B" w:rsidP="004D7B0B">
            <w:pPr>
              <w:pStyle w:val="Bezodstpw"/>
              <w:spacing w:line="0" w:lineRule="atLeast"/>
              <w:rPr>
                <w:sz w:val="20"/>
                <w:szCs w:val="20"/>
              </w:rPr>
            </w:pPr>
            <w:r w:rsidRPr="00060FFA">
              <w:rPr>
                <w:sz w:val="20"/>
                <w:szCs w:val="20"/>
              </w:rPr>
              <w:t>– zna datę wojny secesyjnej (1861–1865);</w:t>
            </w:r>
          </w:p>
          <w:p w14:paraId="6250E64F" w14:textId="573D9339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– identyfikuje postać Abrahama Lincolna;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728C1" w14:textId="7B7B8942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charakteryzuje 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sytuację gospodarczą,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społeczną i polityczną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Północy i Południa;</w:t>
            </w:r>
          </w:p>
          <w:p w14:paraId="486365A1" w14:textId="5011D5A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2A4C13">
              <w:rPr>
                <w:rFonts w:ascii="Calibri" w:hAnsi="Calibri" w:cs="HelveticaNeueLTPro-Roman"/>
                <w:sz w:val="20"/>
                <w:szCs w:val="20"/>
              </w:rPr>
              <w:t>– wymienia przyczyny i skutki wojny secesyjnej.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8922C" w14:textId="686C5C4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>
              <w:rPr>
                <w:rFonts w:ascii="Calibri" w:hAnsi="Calibri" w:cs="HelveticaNeueLTPro-Roman"/>
                <w:sz w:val="20"/>
                <w:szCs w:val="20"/>
              </w:rPr>
              <w:t>zna pojęcie: abolicjonizm</w:t>
            </w:r>
          </w:p>
          <w:p w14:paraId="0599CB56" w14:textId="11B02719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2A4C13">
              <w:rPr>
                <w:rFonts w:ascii="Calibri" w:hAnsi="Calibri" w:cs="HelveticaNeueLTPro-Roman"/>
                <w:sz w:val="20"/>
                <w:szCs w:val="20"/>
              </w:rPr>
              <w:t>– wymienia przyczyny i skutki wojny secesyjnej.</w:t>
            </w:r>
          </w:p>
          <w:p w14:paraId="233DBDB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dzieli skutki wojny secesyjnej na: społeczne, polityczne i gospodarcze.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A69CE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– porównuje sytuację</w:t>
            </w:r>
            <w:r w:rsidRPr="000C67C6">
              <w:rPr>
                <w:rFonts w:ascii="Calibri" w:hAnsi="Calibri" w:cs="HelveticaNeueLTPro-Roman"/>
                <w:spacing w:val="-2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gospodarczą, społeczną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i polityczną Północy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i Południa.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E10D" w14:textId="77777777" w:rsidR="004D7B0B" w:rsidRPr="000C67C6" w:rsidRDefault="004D7B0B" w:rsidP="004D7B0B">
            <w:pPr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ocenia znaczenie zniesienia niewolnictwa w </w:t>
            </w:r>
            <w:r w:rsidRPr="000C67C6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>Stanach Zjednoczonych</w:t>
            </w:r>
            <w:r w:rsidRPr="000C67C6">
              <w:rPr>
                <w:rFonts w:ascii="Calibri" w:hAnsi="Calibri"/>
                <w:sz w:val="20"/>
                <w:szCs w:val="20"/>
              </w:rPr>
              <w:t>.</w:t>
            </w:r>
          </w:p>
        </w:tc>
      </w:tr>
      <w:tr w:rsidR="004D7B0B" w:rsidRPr="000C67C6" w14:paraId="169A30CE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3FD21" w14:textId="3DB769A1" w:rsidR="004D7B0B" w:rsidRPr="002A4C13" w:rsidRDefault="004D7B0B" w:rsidP="004D7B0B">
            <w:pPr>
              <w:pStyle w:val="Bezodstpw"/>
              <w:spacing w:line="0" w:lineRule="atLeast"/>
              <w:rPr>
                <w:spacing w:val="-8"/>
                <w:sz w:val="20"/>
                <w:szCs w:val="20"/>
              </w:rPr>
            </w:pPr>
            <w:r w:rsidRPr="009428AA">
              <w:rPr>
                <w:spacing w:val="-4"/>
                <w:sz w:val="20"/>
                <w:szCs w:val="20"/>
              </w:rPr>
              <w:t>– zna daty: powstania</w:t>
            </w:r>
            <w:r w:rsidRPr="009428AA">
              <w:rPr>
                <w:sz w:val="20"/>
                <w:szCs w:val="20"/>
              </w:rPr>
              <w:t xml:space="preserve"> Królestwa Włoch (1861), </w:t>
            </w:r>
            <w:r w:rsidRPr="009428AA">
              <w:rPr>
                <w:spacing w:val="-2"/>
                <w:sz w:val="20"/>
                <w:szCs w:val="20"/>
              </w:rPr>
              <w:t xml:space="preserve">ogłoszenia powstania </w:t>
            </w:r>
            <w:r w:rsidRPr="009428AA">
              <w:rPr>
                <w:sz w:val="20"/>
                <w:szCs w:val="20"/>
              </w:rPr>
              <w:t xml:space="preserve">II Rzeszy </w:t>
            </w:r>
            <w:r w:rsidRPr="009428AA">
              <w:rPr>
                <w:spacing w:val="-8"/>
                <w:sz w:val="20"/>
                <w:szCs w:val="20"/>
              </w:rPr>
              <w:t>Niemieckiej (18 I 1871);</w:t>
            </w:r>
          </w:p>
          <w:p w14:paraId="6E236762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</w:pPr>
          </w:p>
          <w:p w14:paraId="5F420812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4829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terminu </w:t>
            </w:r>
            <w:r w:rsidRPr="00EC1646">
              <w:rPr>
                <w:rFonts w:ascii="Calibri" w:hAnsi="Calibri" w:cs="HelveticaNeueLTPro-Roman"/>
                <w:i/>
                <w:sz w:val="20"/>
                <w:szCs w:val="20"/>
              </w:rPr>
              <w:t>wyprawa „tysiąca czerwonych koszul”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18A89F17" w14:textId="447074A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>
              <w:rPr>
                <w:rFonts w:cs="Humanst521EU-Normal"/>
                <w:sz w:val="20"/>
                <w:szCs w:val="20"/>
              </w:rPr>
              <w:t xml:space="preserve">-zna osobę: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Ottona von Bismarcka;</w:t>
            </w:r>
            <w:r w:rsidRPr="002A4C13">
              <w:rPr>
                <w:rFonts w:ascii="Calibri" w:hAnsi="Calibri" w:cs="HelveticaNeueLTPro-Roman"/>
                <w:sz w:val="20"/>
                <w:szCs w:val="20"/>
              </w:rPr>
              <w:t xml:space="preserve"> Giuseppe Garibaldiego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9985F" w14:textId="166E1AD5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przedstawia skutki zjednoczenia Włoch</w:t>
            </w:r>
            <w:r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i Niemiec dla Europy;</w:t>
            </w:r>
          </w:p>
          <w:p w14:paraId="1DBCBEC3" w14:textId="0DF81724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DC6C" w14:textId="6589D295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wskazuje etapy </w:t>
            </w:r>
            <w:r>
              <w:rPr>
                <w:rFonts w:ascii="Calibri" w:hAnsi="Calibri" w:cs="HelveticaNeueLTPro-Roman"/>
                <w:sz w:val="20"/>
                <w:szCs w:val="20"/>
              </w:rPr>
              <w:t>z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jednoczenia Włoch i Niemiec.</w:t>
            </w:r>
          </w:p>
          <w:p w14:paraId="0F44CB4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B3BD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ind w:right="-108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ocenia metody stosowane przez O</w:t>
            </w:r>
            <w:r>
              <w:rPr>
                <w:rFonts w:ascii="Calibri" w:hAnsi="Calibri" w:cs="HelveticaNeueLTPro-Roman"/>
                <w:sz w:val="20"/>
                <w:szCs w:val="20"/>
              </w:rPr>
              <w:t xml:space="preserve">ttona Bismarcka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i Giuseppe Garibaldiego w procesie jednoczenia swoich państw</w:t>
            </w:r>
            <w:r w:rsidRPr="000C67C6">
              <w:rPr>
                <w:rFonts w:ascii="Calibri" w:hAnsi="Calibri" w:cs="HelveticaNeueLTPro-Roman"/>
                <w:color w:val="00B0F0"/>
                <w:sz w:val="20"/>
                <w:szCs w:val="20"/>
              </w:rPr>
              <w:t>.</w:t>
            </w:r>
          </w:p>
        </w:tc>
      </w:tr>
      <w:tr w:rsidR="004D7B0B" w:rsidRPr="000C67C6" w14:paraId="4D47D244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806A" w14:textId="7847E369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>
              <w:rPr>
                <w:rFonts w:ascii="Calibri" w:hAnsi="Calibri" w:cs="HelveticaNeueLTPro-Roman"/>
                <w:sz w:val="20"/>
                <w:szCs w:val="20"/>
              </w:rPr>
              <w:t xml:space="preserve">zna pojęcia: </w:t>
            </w:r>
            <w:r w:rsidRPr="006F0A75">
              <w:rPr>
                <w:rFonts w:ascii="Calibri" w:hAnsi="Calibri" w:cs="HelveticaNeueLTPro-Roman"/>
                <w:i/>
                <w:sz w:val="20"/>
                <w:szCs w:val="20"/>
              </w:rPr>
              <w:t>kolonializm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>
              <w:rPr>
                <w:rFonts w:ascii="Calibri" w:hAnsi="Calibri" w:cs="HelveticaNeueLTPro-Roman"/>
                <w:i/>
                <w:sz w:val="20"/>
                <w:szCs w:val="20"/>
              </w:rPr>
              <w:t>metropolia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1026A3EB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  <w:p w14:paraId="356B2B83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1B125" w14:textId="5949D90A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w</w:t>
            </w:r>
            <w:r w:rsidR="005E4A6B">
              <w:rPr>
                <w:rFonts w:ascii="Calibri" w:hAnsi="Calibri" w:cs="HelveticaNeueLTPro-Roman"/>
                <w:sz w:val="20"/>
                <w:szCs w:val="20"/>
              </w:rPr>
              <w:t>ymienia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państwa, które posiadały najwięcej kolonii;</w:t>
            </w:r>
          </w:p>
          <w:p w14:paraId="2E1B8647" w14:textId="7045D6B5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lastRenderedPageBreak/>
              <w:t>– wymienia przyczyny i skutki ekspansji kolonialnej.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B117B" w14:textId="163F1875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lastRenderedPageBreak/>
              <w:t>–</w:t>
            </w:r>
            <w:r w:rsidRPr="00857DC5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–zna pojęcia: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: </w:t>
            </w:r>
            <w:r>
              <w:rPr>
                <w:rFonts w:ascii="Calibri" w:hAnsi="Calibri" w:cs="HelveticaNeueLTPro-Roman"/>
                <w:i/>
                <w:sz w:val="20"/>
                <w:szCs w:val="20"/>
              </w:rPr>
              <w:t>ekspansja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C51B80">
              <w:rPr>
                <w:rFonts w:ascii="Calibri" w:hAnsi="Calibri" w:cs="HelveticaNeueLTPro-Roman"/>
                <w:i/>
                <w:sz w:val="20"/>
                <w:szCs w:val="20"/>
              </w:rPr>
              <w:t>eksterminacja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7233D5B9" w14:textId="6A11693C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9362" w14:textId="77777777" w:rsidR="004D7B0B" w:rsidRPr="00857DC5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857DC5">
              <w:rPr>
                <w:rFonts w:ascii="Calibri" w:hAnsi="Calibri"/>
                <w:sz w:val="20"/>
                <w:szCs w:val="20"/>
              </w:rPr>
              <w:t>– wymienia przyczyny  i skutki kolonializmu</w:t>
            </w:r>
          </w:p>
          <w:p w14:paraId="3EFF60AB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51B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ocenia politykę </w:t>
            </w:r>
            <w:r w:rsidRPr="000C67C6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mocarstw kolonialnych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wobec podbitych ludów i państw.</w:t>
            </w:r>
          </w:p>
        </w:tc>
      </w:tr>
      <w:tr w:rsidR="004D7B0B" w:rsidRPr="000C67C6" w14:paraId="50DF864B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E8CB" w14:textId="6B286390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>
              <w:rPr>
                <w:rFonts w:ascii="Calibri" w:hAnsi="Calibri" w:cs="HelveticaNeueLTPro-Roman"/>
                <w:sz w:val="20"/>
                <w:szCs w:val="20"/>
              </w:rPr>
              <w:t xml:space="preserve">- zna pojęcia: </w:t>
            </w:r>
            <w:r w:rsidRPr="0009472B">
              <w:rPr>
                <w:rFonts w:ascii="Calibri" w:hAnsi="Calibri" w:cs="HelveticaNeueLTPro-Roman"/>
                <w:i/>
                <w:sz w:val="20"/>
                <w:szCs w:val="20"/>
              </w:rPr>
              <w:t>system republikański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09472B">
              <w:rPr>
                <w:rFonts w:ascii="Calibri" w:hAnsi="Calibri" w:cs="HelveticaNeueLTPro-Roman"/>
                <w:i/>
                <w:spacing w:val="-4"/>
                <w:kern w:val="24"/>
                <w:sz w:val="20"/>
                <w:szCs w:val="20"/>
              </w:rPr>
              <w:t>monarchia</w:t>
            </w:r>
            <w:r w:rsidRPr="0009472B">
              <w:rPr>
                <w:rFonts w:ascii="Calibri" w:hAnsi="Calibri" w:cs="HelveticaNeueLTPro-Roman"/>
                <w:i/>
                <w:sz w:val="20"/>
                <w:szCs w:val="20"/>
              </w:rPr>
              <w:t xml:space="preserve"> parlamentarna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09472B">
              <w:rPr>
                <w:rFonts w:ascii="Calibri" w:hAnsi="Calibri" w:cs="HelveticaNeueLTPro-Roman"/>
                <w:i/>
                <w:sz w:val="20"/>
                <w:szCs w:val="20"/>
              </w:rPr>
              <w:t>demokratyzacja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25852F03" w14:textId="036A0ED3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4615" w14:textId="4E61236B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857DC5">
              <w:rPr>
                <w:rFonts w:ascii="Calibri" w:hAnsi="Calibri" w:cs="HelveticaNeueLTPro-Roman"/>
                <w:sz w:val="20"/>
                <w:szCs w:val="20"/>
              </w:rPr>
              <w:t>- zna pojęcia:</w:t>
            </w:r>
            <w:r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E8203B">
              <w:rPr>
                <w:rFonts w:ascii="Calibri" w:hAnsi="Calibri" w:cs="HelveticaNeueLTPro-Roman"/>
                <w:i/>
                <w:sz w:val="20"/>
                <w:szCs w:val="20"/>
              </w:rPr>
              <w:t>emancypantki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E8203B">
              <w:rPr>
                <w:rFonts w:ascii="Calibri" w:hAnsi="Calibri" w:cs="HelveticaNeueLTPro-Roman"/>
                <w:i/>
                <w:sz w:val="20"/>
                <w:szCs w:val="20"/>
              </w:rPr>
              <w:t>sufrażystki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5910E076" w14:textId="652B0A1A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000C1" w14:textId="72F166BE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857DC5">
              <w:rPr>
                <w:rFonts w:ascii="Calibri" w:hAnsi="Calibri" w:cs="HelveticaNeueLTPro-Roman"/>
                <w:sz w:val="20"/>
                <w:szCs w:val="20"/>
              </w:rPr>
              <w:t xml:space="preserve">zna pojęcia: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7A755C">
              <w:rPr>
                <w:rFonts w:ascii="Calibri" w:hAnsi="Calibri" w:cs="HelveticaNeueLTPro-Roman"/>
                <w:i/>
                <w:sz w:val="20"/>
                <w:szCs w:val="20"/>
              </w:rPr>
              <w:t>nacjonalizm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7A755C">
              <w:rPr>
                <w:rFonts w:ascii="Calibri" w:hAnsi="Calibri" w:cs="HelveticaNeueLTPro-Roman"/>
                <w:i/>
                <w:sz w:val="20"/>
                <w:szCs w:val="20"/>
              </w:rPr>
              <w:t>szowinizm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7A755C">
              <w:rPr>
                <w:rFonts w:ascii="Calibri" w:hAnsi="Calibri" w:cs="HelveticaNeueLTPro-Roman"/>
                <w:i/>
                <w:sz w:val="20"/>
                <w:szCs w:val="20"/>
              </w:rPr>
              <w:t>syjonizm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593785BD" w14:textId="12B243AE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wyjaśnia, jakie 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okoliczności wpłynęły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na narodziny ruchu emancypacji kobiet.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9ADF" w14:textId="7F9893DD" w:rsidR="004D7B0B" w:rsidRPr="000C67C6" w:rsidRDefault="004D7B0B" w:rsidP="004D7B0B">
            <w:pPr>
              <w:spacing w:line="0" w:lineRule="atLeast"/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Pr="00857DC5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- zna pojęcia: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</w:t>
            </w:r>
            <w:r w:rsidRPr="00772186">
              <w:rPr>
                <w:rFonts w:ascii="Calibri" w:hAnsi="Calibri" w:cs="HelveticaNeueLTPro-Roman"/>
                <w:i/>
                <w:spacing w:val="-4"/>
                <w:kern w:val="24"/>
                <w:sz w:val="20"/>
                <w:szCs w:val="20"/>
              </w:rPr>
              <w:t>solidaryzm społeczny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, </w:t>
            </w:r>
            <w:r w:rsidRPr="00772186">
              <w:rPr>
                <w:rFonts w:ascii="Calibri" w:hAnsi="Calibri" w:cs="HelveticaNeueLTPro-Roman"/>
                <w:i/>
                <w:sz w:val="20"/>
                <w:szCs w:val="20"/>
              </w:rPr>
              <w:t>społeczeństwo industrialne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</w:p>
          <w:p w14:paraId="0FF07E96" w14:textId="1B6D76E1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A97D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 porównuje systemy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ustrojowe w XIX–</w:t>
            </w:r>
            <w:r w:rsidRPr="000C67C6">
              <w:rPr>
                <w:rFonts w:ascii="Calibri" w:hAnsi="Calibri"/>
                <w:sz w:val="20"/>
                <w:szCs w:val="20"/>
              </w:rPr>
              <w:br/>
              <w:t>wiecznej Europie.</w:t>
            </w:r>
          </w:p>
        </w:tc>
      </w:tr>
      <w:tr w:rsidR="004D7B0B" w:rsidRPr="000C67C6" w14:paraId="7C9FFA93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0C229" w14:textId="1282F3EF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857DC5">
              <w:rPr>
                <w:rFonts w:ascii="Calibri" w:hAnsi="Calibri" w:cs="HelveticaNeueLTPro-Roman"/>
                <w:sz w:val="20"/>
                <w:szCs w:val="20"/>
              </w:rPr>
              <w:t>- zna pojęcia:</w:t>
            </w:r>
            <w:r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46466D">
              <w:rPr>
                <w:rFonts w:ascii="Calibri" w:hAnsi="Calibri" w:cs="HelveticaNeueLTPro-Roman"/>
                <w:i/>
                <w:sz w:val="20"/>
                <w:szCs w:val="20"/>
              </w:rPr>
              <w:t>teoria ewolucji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46466D">
              <w:rPr>
                <w:rFonts w:cs="Humanst521EU-Normal"/>
                <w:i/>
                <w:sz w:val="20"/>
                <w:szCs w:val="20"/>
              </w:rPr>
              <w:t>promieniowanie X</w:t>
            </w:r>
            <w:r w:rsidRPr="000C67C6">
              <w:rPr>
                <w:rFonts w:cs="Humanst521EU-Normal"/>
                <w:sz w:val="20"/>
                <w:szCs w:val="20"/>
              </w:rPr>
              <w:t xml:space="preserve">, </w:t>
            </w:r>
            <w:r w:rsidRPr="0046466D">
              <w:rPr>
                <w:rFonts w:cs="Humanst521EU-Normal"/>
                <w:i/>
                <w:sz w:val="20"/>
                <w:szCs w:val="20"/>
              </w:rPr>
              <w:t>kultura masowa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27B562DB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identyfikuje postacie: Karola Darwina,</w:t>
            </w:r>
            <w:r w:rsidRPr="000C67C6">
              <w:rPr>
                <w:sz w:val="20"/>
                <w:szCs w:val="20"/>
              </w:rPr>
              <w:t xml:space="preserve"> </w:t>
            </w:r>
            <w:r>
              <w:rPr>
                <w:rFonts w:ascii="Calibri" w:hAnsi="Calibri" w:cs="HelveticaNeueLTPro-Roman"/>
                <w:sz w:val="20"/>
                <w:szCs w:val="20"/>
              </w:rPr>
              <w:t>Marii Skłodowskiej-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Curie;</w:t>
            </w:r>
          </w:p>
          <w:p w14:paraId="72F3FC23" w14:textId="4E806780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wymienia odkrycia naukowe, przełomu XIX i XX wieku;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2DE1" w14:textId="43FFFC5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sz w:val="20"/>
                <w:szCs w:val="20"/>
              </w:rPr>
            </w:pPr>
            <w:r w:rsidRPr="000C67C6">
              <w:rPr>
                <w:rFonts w:cs="Humanst521EU-Normal"/>
                <w:sz w:val="20"/>
                <w:szCs w:val="20"/>
              </w:rPr>
              <w:t xml:space="preserve">− identyfikuje postacie: Karola Darwina, Marii Skłodowskiej-Curie, Ludwika Pasteura, </w:t>
            </w:r>
            <w:proofErr w:type="spellStart"/>
            <w:r w:rsidRPr="000C67C6">
              <w:rPr>
                <w:rFonts w:ascii="Calibri" w:hAnsi="Calibri"/>
                <w:sz w:val="20"/>
                <w:szCs w:val="20"/>
              </w:rPr>
              <w:t>Auguste’a</w:t>
            </w:r>
            <w:proofErr w:type="spellEnd"/>
            <w:r w:rsidRPr="000C67C6">
              <w:rPr>
                <w:rFonts w:ascii="Calibri" w:hAnsi="Calibri"/>
                <w:sz w:val="20"/>
                <w:szCs w:val="20"/>
              </w:rPr>
              <w:t xml:space="preserve"> i Louisa </w:t>
            </w:r>
            <w:proofErr w:type="spellStart"/>
            <w:r w:rsidRPr="000C67C6">
              <w:rPr>
                <w:rFonts w:ascii="Calibri" w:hAnsi="Calibri"/>
                <w:sz w:val="20"/>
                <w:szCs w:val="20"/>
              </w:rPr>
              <w:t>Lumière</w:t>
            </w:r>
            <w:proofErr w:type="spellEnd"/>
            <w:r w:rsidRPr="000C67C6">
              <w:rPr>
                <w:rFonts w:ascii="Calibri" w:hAnsi="Calibri"/>
                <w:sz w:val="20"/>
                <w:szCs w:val="20"/>
              </w:rPr>
              <w:t xml:space="preserve">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1D2C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sz w:val="20"/>
                <w:szCs w:val="20"/>
              </w:rPr>
            </w:pPr>
            <w:r w:rsidRPr="000C67C6">
              <w:rPr>
                <w:rFonts w:cs="Humanst521EU-Normal"/>
                <w:sz w:val="20"/>
                <w:szCs w:val="20"/>
              </w:rPr>
              <w:t xml:space="preserve">− identyfikuje postacie: Dmitrija Mendelejewa, Wilhelma Roentgena, </w:t>
            </w:r>
            <w:proofErr w:type="spellStart"/>
            <w:r w:rsidRPr="000C67C6">
              <w:rPr>
                <w:rFonts w:cs="Humanst521EU-Normal"/>
                <w:sz w:val="20"/>
                <w:szCs w:val="20"/>
              </w:rPr>
              <w:t>Char</w:t>
            </w:r>
            <w:r>
              <w:rPr>
                <w:rFonts w:cs="Humanst521EU-Normal"/>
                <w:sz w:val="20"/>
                <w:szCs w:val="20"/>
              </w:rPr>
              <w:t>elsa</w:t>
            </w:r>
            <w:proofErr w:type="spellEnd"/>
            <w:r>
              <w:rPr>
                <w:rFonts w:cs="Humanst521EU-Normal"/>
                <w:sz w:val="20"/>
                <w:szCs w:val="20"/>
              </w:rPr>
              <w:t xml:space="preserve"> Dickens</w:t>
            </w:r>
            <w:r w:rsidRPr="000C67C6">
              <w:rPr>
                <w:rFonts w:cs="Humanst521EU-Normal"/>
                <w:sz w:val="20"/>
                <w:szCs w:val="20"/>
              </w:rPr>
              <w:t xml:space="preserve">a,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Pierre’a Curie;</w:t>
            </w:r>
          </w:p>
          <w:p w14:paraId="56BC9C00" w14:textId="5833C55D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3965" w14:textId="77777777" w:rsidR="004D7B0B" w:rsidRPr="00857DC5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</w:pPr>
            <w:r w:rsidRPr="00857DC5">
              <w:rPr>
                <w:rFonts w:ascii="Calibri" w:hAnsi="Calibri" w:cs="HelveticaNeueLTPro-Roman"/>
                <w:sz w:val="20"/>
                <w:szCs w:val="20"/>
              </w:rPr>
              <w:t xml:space="preserve">– charakteryzuje rozwój komunikacji </w:t>
            </w:r>
            <w:r w:rsidRPr="00857DC5">
              <w:rPr>
                <w:rFonts w:ascii="Calibri" w:hAnsi="Calibri" w:cs="HelveticaNeueLTPro-Roman"/>
                <w:sz w:val="20"/>
                <w:szCs w:val="20"/>
              </w:rPr>
              <w:br/>
              <w:t>i transportu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857DC5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wyjaśnia, w jaki sposób wynalazki zmieniły życie codzienne w XIX w.;</w:t>
            </w:r>
          </w:p>
          <w:p w14:paraId="269CB6EC" w14:textId="28120CBC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FE74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wyjaśnia, w jaki sposób podglądy pozytywistów wpłynęły na literaturę i sztukę przełomu XIX i XX w.</w:t>
            </w:r>
          </w:p>
          <w:p w14:paraId="6F787EA9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</w:tr>
      <w:tr w:rsidR="004D7B0B" w:rsidRPr="000C67C6" w14:paraId="2B0F1E61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BAAE0" w14:textId="07714653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</w:t>
            </w:r>
            <w:r w:rsidRPr="00B51F45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B51F45">
              <w:rPr>
                <w:rFonts w:ascii="Calibri" w:hAnsi="Calibri"/>
                <w:sz w:val="20"/>
                <w:szCs w:val="20"/>
              </w:rPr>
              <w:t xml:space="preserve">zna pojęcia: 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B93477">
              <w:rPr>
                <w:rFonts w:ascii="Calibri" w:hAnsi="Calibri"/>
                <w:i/>
                <w:sz w:val="20"/>
                <w:szCs w:val="20"/>
              </w:rPr>
              <w:t>branka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B93477">
              <w:rPr>
                <w:rFonts w:ascii="Calibri" w:hAnsi="Calibri"/>
                <w:i/>
                <w:kern w:val="24"/>
                <w:sz w:val="20"/>
                <w:szCs w:val="20"/>
              </w:rPr>
              <w:t>dyktator</w:t>
            </w:r>
            <w:r w:rsidRPr="000C67C6">
              <w:rPr>
                <w:rFonts w:ascii="Calibri" w:hAnsi="Calibri"/>
                <w:sz w:val="20"/>
                <w:szCs w:val="20"/>
              </w:rPr>
              <w:t>;</w:t>
            </w:r>
          </w:p>
          <w:p w14:paraId="50E73980" w14:textId="2F0F87CC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zna daty: wybuchu 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powstania (22 I 1863),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5195D38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identyfikuje postać Romualda Traugutta;</w:t>
            </w:r>
          </w:p>
          <w:p w14:paraId="5CF7A264" w14:textId="0B1D4356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DC8D2" w14:textId="01D95EFA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wyjaśnia znaczenie terminów: </w:t>
            </w:r>
            <w:r w:rsidRPr="000C67C6">
              <w:rPr>
                <w:rFonts w:ascii="Calibri" w:hAnsi="Calibri"/>
                <w:spacing w:val="-12"/>
                <w:kern w:val="24"/>
                <w:sz w:val="20"/>
                <w:szCs w:val="20"/>
              </w:rPr>
              <w:t>„</w:t>
            </w:r>
            <w:r w:rsidRPr="00A96AEC">
              <w:rPr>
                <w:rFonts w:ascii="Calibri" w:hAnsi="Calibri"/>
                <w:i/>
                <w:spacing w:val="-12"/>
                <w:kern w:val="24"/>
                <w:sz w:val="20"/>
                <w:szCs w:val="20"/>
              </w:rPr>
              <w:t>czerwoni</w:t>
            </w:r>
            <w:r w:rsidRPr="000C67C6">
              <w:rPr>
                <w:rFonts w:ascii="Calibri" w:hAnsi="Calibri"/>
                <w:spacing w:val="-12"/>
                <w:kern w:val="24"/>
                <w:sz w:val="20"/>
                <w:szCs w:val="20"/>
              </w:rPr>
              <w:t xml:space="preserve">”, </w:t>
            </w:r>
            <w:r w:rsidRPr="000C67C6">
              <w:rPr>
                <w:rFonts w:ascii="Calibri" w:hAnsi="Calibri"/>
                <w:sz w:val="20"/>
                <w:szCs w:val="20"/>
              </w:rPr>
              <w:t>„</w:t>
            </w:r>
            <w:r w:rsidRPr="00A96AEC">
              <w:rPr>
                <w:rFonts w:ascii="Calibri" w:hAnsi="Calibri"/>
                <w:i/>
                <w:sz w:val="20"/>
                <w:szCs w:val="20"/>
              </w:rPr>
              <w:t>biali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”, </w:t>
            </w:r>
            <w:r w:rsidRPr="00A96AEC">
              <w:rPr>
                <w:rFonts w:ascii="Calibri" w:hAnsi="Calibri"/>
                <w:i/>
                <w:sz w:val="20"/>
                <w:szCs w:val="20"/>
              </w:rPr>
              <w:t>wojna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A96AEC">
              <w:rPr>
                <w:rFonts w:ascii="Calibri" w:hAnsi="Calibri"/>
                <w:i/>
                <w:sz w:val="20"/>
                <w:szCs w:val="20"/>
              </w:rPr>
              <w:t>partyzancka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, </w:t>
            </w:r>
          </w:p>
          <w:p w14:paraId="2BE7572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pacing w:val="-16"/>
                <w:kern w:val="24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przedstawia programy polityczne </w:t>
            </w:r>
            <w:r w:rsidRPr="000C67C6">
              <w:rPr>
                <w:rFonts w:ascii="Calibri" w:hAnsi="Calibri"/>
                <w:spacing w:val="-16"/>
                <w:kern w:val="24"/>
                <w:sz w:val="20"/>
                <w:szCs w:val="20"/>
              </w:rPr>
              <w:t>„białych” i „czerwonych”;</w:t>
            </w:r>
          </w:p>
          <w:p w14:paraId="30DE1F43" w14:textId="7CACFBA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8BF2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wskazuje różnicę </w:t>
            </w:r>
            <w:r w:rsidRPr="000C67C6">
              <w:rPr>
                <w:rFonts w:ascii="Calibri" w:hAnsi="Calibri"/>
                <w:sz w:val="20"/>
                <w:szCs w:val="20"/>
              </w:rPr>
              <w:br/>
              <w:t xml:space="preserve">w stosunku do powstania zbrojnego </w:t>
            </w:r>
            <w:r w:rsidRPr="000C67C6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między „czerwonymi” i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„białymi”;</w:t>
            </w:r>
          </w:p>
          <w:p w14:paraId="72B4AB83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omawia cele</w:t>
            </w:r>
            <w:r w:rsidRPr="000C67C6">
              <w:rPr>
                <w:rFonts w:ascii="Calibri" w:hAnsi="Calibri"/>
                <w:color w:val="00B0F0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/>
                <w:sz w:val="20"/>
                <w:szCs w:val="20"/>
              </w:rPr>
              <w:t>manifestu Tymczasowego Rządu Narodowego;</w:t>
            </w:r>
          </w:p>
          <w:p w14:paraId="1824B050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wyjaśnia, jaką rolę w upadku powstania odegrała kwestia chłopska.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A9C86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wyjaśnia, jaką rolę pełniły manifestacje patriotyczne w przededniu wybuchu powstania;</w:t>
            </w:r>
          </w:p>
          <w:p w14:paraId="18B3BCC3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porównuje programy polityczne „czerwonych” </w:t>
            </w:r>
            <w:r w:rsidRPr="000C67C6">
              <w:rPr>
                <w:rFonts w:ascii="Calibri" w:hAnsi="Calibri"/>
                <w:sz w:val="20"/>
                <w:szCs w:val="20"/>
              </w:rPr>
              <w:br/>
              <w:t>i „białych”.</w:t>
            </w:r>
          </w:p>
          <w:p w14:paraId="425D56E3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1856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ocenia politykę Aleksandra Wielopolskiego;</w:t>
            </w:r>
          </w:p>
          <w:p w14:paraId="1D4154DD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ocenia postawy dyktatorów powstania styczniowego.</w:t>
            </w:r>
          </w:p>
          <w:p w14:paraId="6E616FE9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color w:val="00B0F0"/>
                <w:sz w:val="20"/>
                <w:szCs w:val="20"/>
              </w:rPr>
            </w:pPr>
          </w:p>
        </w:tc>
      </w:tr>
      <w:tr w:rsidR="004D7B0B" w:rsidRPr="000C67C6" w14:paraId="315D7CF8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0E84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pacing w:val="-6"/>
                <w:kern w:val="24"/>
                <w:sz w:val="20"/>
                <w:szCs w:val="20"/>
              </w:rPr>
            </w:pPr>
            <w:bookmarkStart w:id="0" w:name="_Hlk81750452"/>
            <w:r w:rsidRPr="000C67C6">
              <w:rPr>
                <w:rFonts w:ascii="Calibri" w:hAnsi="Calibri"/>
                <w:sz w:val="20"/>
                <w:szCs w:val="20"/>
              </w:rPr>
              <w:t xml:space="preserve">– wyjaśnia znaczenie 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terminów: </w:t>
            </w:r>
            <w:r w:rsidRPr="008D6761">
              <w:rPr>
                <w:rFonts w:ascii="Calibri" w:hAnsi="Calibri"/>
                <w:i/>
                <w:spacing w:val="-6"/>
                <w:kern w:val="24"/>
                <w:sz w:val="20"/>
                <w:szCs w:val="20"/>
              </w:rPr>
              <w:t>rusyfikacja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, </w:t>
            </w:r>
            <w:r w:rsidRPr="008D6761">
              <w:rPr>
                <w:rFonts w:ascii="Calibri" w:hAnsi="Calibri"/>
                <w:i/>
                <w:spacing w:val="-6"/>
                <w:kern w:val="24"/>
                <w:sz w:val="20"/>
                <w:szCs w:val="20"/>
              </w:rPr>
              <w:t>germanizacja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;</w:t>
            </w:r>
          </w:p>
          <w:p w14:paraId="69A2F5EB" w14:textId="2827533E" w:rsidR="004D7B0B" w:rsidRPr="000C67C6" w:rsidRDefault="004D7B0B" w:rsidP="0F8D39D4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F8D39D4">
              <w:rPr>
                <w:rFonts w:ascii="Calibri" w:hAnsi="Calibri" w:cs="HelveticaNeueLTPro-Roman"/>
                <w:sz w:val="20"/>
                <w:szCs w:val="20"/>
              </w:rPr>
              <w:t>– identyfikuje postać Michała Drzymały;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2518" w14:textId="729E6C9A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</w:t>
            </w:r>
            <w:r w:rsidRPr="004D7B0B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4D7B0B">
              <w:rPr>
                <w:rFonts w:ascii="Calibri" w:hAnsi="Calibri"/>
                <w:sz w:val="20"/>
                <w:szCs w:val="20"/>
              </w:rPr>
              <w:t>zna pojęcia: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8D6761">
              <w:rPr>
                <w:rFonts w:ascii="Calibri" w:hAnsi="Calibri"/>
                <w:i/>
                <w:sz w:val="20"/>
                <w:szCs w:val="20"/>
              </w:rPr>
              <w:t>Kraj Przywiślański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8D6761">
              <w:rPr>
                <w:rFonts w:ascii="Calibri" w:hAnsi="Calibri" w:cs="HelveticaNeueLTPro-Roman"/>
                <w:i/>
                <w:spacing w:val="-6"/>
                <w:kern w:val="24"/>
                <w:sz w:val="20"/>
                <w:szCs w:val="20"/>
              </w:rPr>
              <w:t>autonomia</w:t>
            </w:r>
            <w:r w:rsidRPr="008D6761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,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0C67C6">
              <w:rPr>
                <w:sz w:val="20"/>
                <w:szCs w:val="20"/>
              </w:rPr>
              <w:t xml:space="preserve"> </w:t>
            </w:r>
            <w:r w:rsidRPr="008D6761">
              <w:rPr>
                <w:rFonts w:ascii="Calibri" w:hAnsi="Calibri" w:cs="HelveticaNeueLTPro-Roman"/>
                <w:i/>
                <w:sz w:val="20"/>
                <w:szCs w:val="20"/>
              </w:rPr>
              <w:t>strajk szkolny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,</w:t>
            </w:r>
            <w:r w:rsidRPr="008D6761">
              <w:rPr>
                <w:rFonts w:ascii="Calibri" w:hAnsi="Calibri" w:cs="HelveticaNeueLTPro-Roman"/>
                <w:i/>
                <w:sz w:val="20"/>
                <w:szCs w:val="20"/>
              </w:rPr>
              <w:t xml:space="preserve"> rugi pruskie</w:t>
            </w:r>
            <w:r w:rsidRPr="000C67C6">
              <w:rPr>
                <w:rFonts w:ascii="Calibri" w:hAnsi="Calibri"/>
                <w:sz w:val="20"/>
                <w:szCs w:val="20"/>
              </w:rPr>
              <w:t>;</w:t>
            </w:r>
          </w:p>
          <w:p w14:paraId="76F4D69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– przedstawia przykłady rusyfikacji i germanizacji ziem zabranych</w:t>
            </w:r>
            <w:r w:rsidRPr="000C67C6">
              <w:rPr>
                <w:rFonts w:ascii="Calibri" w:hAnsi="Calibri"/>
                <w:sz w:val="20"/>
                <w:szCs w:val="20"/>
              </w:rPr>
              <w:t>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4E33" w14:textId="42B94176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</w:t>
            </w:r>
            <w:r w:rsidRPr="004D7B0B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4D7B0B">
              <w:rPr>
                <w:rFonts w:ascii="Calibri" w:hAnsi="Calibri"/>
                <w:sz w:val="20"/>
                <w:szCs w:val="20"/>
              </w:rPr>
              <w:t>zna pojęcia: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0F363E">
              <w:rPr>
                <w:rFonts w:ascii="Calibri" w:hAnsi="Calibri"/>
                <w:i/>
                <w:sz w:val="20"/>
                <w:szCs w:val="20"/>
              </w:rPr>
              <w:t>kibitka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0F363E">
              <w:rPr>
                <w:rFonts w:ascii="Calibri" w:hAnsi="Calibri"/>
                <w:i/>
                <w:sz w:val="20"/>
                <w:szCs w:val="20"/>
              </w:rPr>
              <w:t>tajne komplety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0F363E">
              <w:rPr>
                <w:rFonts w:ascii="Calibri" w:hAnsi="Calibri" w:cs="HelveticaNeueLTPro-Roman"/>
                <w:i/>
                <w:sz w:val="20"/>
                <w:szCs w:val="20"/>
              </w:rPr>
              <w:t xml:space="preserve">Komisja </w:t>
            </w:r>
            <w:r w:rsidRPr="000F363E">
              <w:rPr>
                <w:rFonts w:ascii="Calibri" w:hAnsi="Calibri" w:cs="HelveticaNeueLTPro-Roman"/>
                <w:i/>
                <w:spacing w:val="-4"/>
                <w:kern w:val="24"/>
                <w:sz w:val="20"/>
                <w:szCs w:val="20"/>
              </w:rPr>
              <w:t>Kolonizacyjna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, </w:t>
            </w:r>
            <w:r w:rsidRPr="000F363E">
              <w:rPr>
                <w:rFonts w:ascii="Calibri" w:hAnsi="Calibri" w:cs="HelveticaNeueLTPro-Roman"/>
                <w:i/>
                <w:spacing w:val="-4"/>
                <w:kern w:val="24"/>
                <w:sz w:val="20"/>
                <w:szCs w:val="20"/>
              </w:rPr>
              <w:t>Hakata</w:t>
            </w:r>
            <w:r w:rsidRPr="000C67C6">
              <w:rPr>
                <w:rFonts w:ascii="Calibri" w:hAnsi="Calibri"/>
                <w:sz w:val="20"/>
                <w:szCs w:val="20"/>
              </w:rPr>
              <w:t>;</w:t>
            </w:r>
          </w:p>
          <w:p w14:paraId="44A5496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 omawia postawę Polaków wobec rusyfikacji i germanizacji;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BAA1" w14:textId="1B6A26E5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ind w:right="-108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>–</w:t>
            </w:r>
            <w:r w:rsidRPr="000C67C6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>:</w:t>
            </w:r>
            <w:r w:rsidRPr="004D7B0B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4D7B0B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 xml:space="preserve">zna pojęcia: </w:t>
            </w:r>
            <w:r w:rsidRPr="000C67C6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 xml:space="preserve"> </w:t>
            </w:r>
            <w:r w:rsidRPr="00062124">
              <w:rPr>
                <w:rFonts w:ascii="Calibri" w:hAnsi="Calibri"/>
                <w:i/>
                <w:spacing w:val="-10"/>
                <w:kern w:val="24"/>
                <w:sz w:val="20"/>
                <w:szCs w:val="20"/>
              </w:rPr>
              <w:t xml:space="preserve">Uniwersytet </w:t>
            </w:r>
            <w:r w:rsidRPr="00062124">
              <w:rPr>
                <w:rFonts w:ascii="Calibri" w:hAnsi="Calibri"/>
                <w:i/>
                <w:spacing w:val="-6"/>
                <w:kern w:val="24"/>
                <w:sz w:val="20"/>
                <w:szCs w:val="20"/>
              </w:rPr>
              <w:t>Latający</w:t>
            </w:r>
            <w:r w:rsidRPr="000C67C6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,</w:t>
            </w:r>
            <w:r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 </w:t>
            </w:r>
            <w:r w:rsidRPr="00062124">
              <w:rPr>
                <w:rFonts w:ascii="Calibri" w:hAnsi="Calibri"/>
                <w:i/>
                <w:sz w:val="20"/>
                <w:szCs w:val="20"/>
              </w:rPr>
              <w:t>nowela osadnicza</w:t>
            </w:r>
            <w:r>
              <w:rPr>
                <w:rFonts w:ascii="Calibri" w:hAnsi="Calibri"/>
                <w:i/>
                <w:sz w:val="20"/>
                <w:szCs w:val="20"/>
              </w:rPr>
              <w:t xml:space="preserve">, </w:t>
            </w:r>
            <w:r w:rsidRPr="00442EEF">
              <w:rPr>
                <w:rFonts w:ascii="Calibri" w:hAnsi="Calibri" w:cs="HelveticaNeueLTPro-Roman"/>
                <w:i/>
                <w:kern w:val="24"/>
                <w:sz w:val="20"/>
                <w:szCs w:val="20"/>
              </w:rPr>
              <w:t>ustawa kagańcowa</w:t>
            </w:r>
            <w:r w:rsidRPr="000C67C6">
              <w:rPr>
                <w:rFonts w:ascii="Calibri" w:hAnsi="Calibri"/>
                <w:sz w:val="20"/>
                <w:szCs w:val="20"/>
              </w:rPr>
              <w:t xml:space="preserve">; </w:t>
            </w:r>
          </w:p>
          <w:p w14:paraId="3A8FD95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przedstawia okoliczności nadania Galicji autonomii przez władze austriackie;</w:t>
            </w:r>
          </w:p>
          <w:p w14:paraId="3B91BDC4" w14:textId="77777777" w:rsidR="004D7B0B" w:rsidRPr="000C67C6" w:rsidRDefault="004D7B0B" w:rsidP="004D7B0B">
            <w:pPr>
              <w:spacing w:after="0" w:line="0" w:lineRule="atLeast"/>
              <w:rPr>
                <w:rFonts w:cstheme="minorHAnsi"/>
                <w:color w:val="00B0F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D5E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/>
                <w:sz w:val="20"/>
                <w:szCs w:val="20"/>
              </w:rPr>
            </w:pPr>
            <w:r w:rsidRPr="000C67C6">
              <w:rPr>
                <w:rFonts w:ascii="Calibri" w:hAnsi="Calibri"/>
                <w:sz w:val="20"/>
                <w:szCs w:val="20"/>
              </w:rPr>
              <w:t xml:space="preserve">– ocenia politykę caratu wobec ludności polskiej </w:t>
            </w:r>
            <w:r w:rsidRPr="000C67C6">
              <w:rPr>
                <w:rFonts w:ascii="Calibri" w:hAnsi="Calibri"/>
                <w:sz w:val="20"/>
                <w:szCs w:val="20"/>
              </w:rPr>
              <w:br/>
              <w:t>na ziemiach zabranych;</w:t>
            </w:r>
          </w:p>
          <w:p w14:paraId="203F243A" w14:textId="5262E5C6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</w:tr>
      <w:bookmarkEnd w:id="0"/>
      <w:tr w:rsidR="004D7B0B" w:rsidRPr="000C67C6" w14:paraId="56F8B30A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73E8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ind w:right="-108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– wyjaśnia znaczenie terminu: </w:t>
            </w:r>
            <w:r w:rsidRPr="00F77FD0">
              <w:rPr>
                <w:rFonts w:ascii="Calibri" w:hAnsi="Calibri" w:cs="HelveticaNeueLTPro-Roman"/>
                <w:i/>
                <w:sz w:val="20"/>
                <w:szCs w:val="20"/>
              </w:rPr>
              <w:t>emigracja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F77FD0">
              <w:rPr>
                <w:rFonts w:ascii="Calibri" w:hAnsi="Calibri" w:cs="HelveticaNeueLTPro-Roman"/>
                <w:i/>
                <w:sz w:val="20"/>
                <w:szCs w:val="20"/>
              </w:rPr>
              <w:t>zarobkowa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F77FD0">
              <w:rPr>
                <w:rFonts w:cs="Humanst521EU-Normal"/>
                <w:i/>
                <w:color w:val="000000" w:themeColor="text1"/>
                <w:sz w:val="20"/>
                <w:szCs w:val="20"/>
              </w:rPr>
              <w:t>robotnicy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4E39DC3D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wymienia grupy społeczne, które wykształciły się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w społeczeństwie polskim w XIX w.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E9ED" w14:textId="3397B570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4D7B0B">
              <w:rPr>
                <w:rFonts w:ascii="Calibri" w:hAnsi="Calibri" w:cs="HelveticaNeueLTPro-Roman"/>
                <w:sz w:val="20"/>
                <w:szCs w:val="20"/>
              </w:rPr>
              <w:t xml:space="preserve"> zna pojęcia:</w:t>
            </w: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 </w:t>
            </w:r>
            <w:r w:rsidRPr="00F77FD0">
              <w:rPr>
                <w:rFonts w:ascii="Calibri" w:hAnsi="Calibri" w:cs="HelveticaNeueLTPro-Roman"/>
                <w:i/>
                <w:spacing w:val="-2"/>
                <w:kern w:val="24"/>
                <w:sz w:val="20"/>
                <w:szCs w:val="20"/>
              </w:rPr>
              <w:t>burżuazja</w:t>
            </w:r>
            <w:r w:rsidRPr="000C67C6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,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F77FD0">
              <w:rPr>
                <w:rFonts w:ascii="Calibri" w:hAnsi="Calibri" w:cs="HelveticaNeueLTPro-Roman"/>
                <w:i/>
                <w:sz w:val="20"/>
                <w:szCs w:val="20"/>
              </w:rPr>
              <w:t>inteligencja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F77FD0">
              <w:rPr>
                <w:rFonts w:ascii="Calibri" w:hAnsi="Calibri" w:cs="HelveticaNeueLTPro-Roman"/>
                <w:i/>
                <w:sz w:val="20"/>
                <w:szCs w:val="20"/>
              </w:rPr>
              <w:t>ziemiaństwo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40FA8167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omawia przykłady przemian cywilizacyjnych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na ziemiach polskich w XIX w.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333F8" w14:textId="1629BCEE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ind w:right="-108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4D7B0B">
              <w:rPr>
                <w:rFonts w:ascii="Calibri" w:hAnsi="Calibri" w:cs="HelveticaNeueLTPro-Roman"/>
                <w:sz w:val="20"/>
                <w:szCs w:val="20"/>
              </w:rPr>
              <w:t xml:space="preserve"> zna pojęcia:</w:t>
            </w:r>
            <w:r w:rsidRPr="000C67C6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: </w:t>
            </w:r>
            <w:r w:rsidRPr="00480164">
              <w:rPr>
                <w:rFonts w:ascii="Calibri" w:hAnsi="Calibri" w:cs="HelveticaNeueLTPro-Roman"/>
                <w:i/>
                <w:spacing w:val="-6"/>
                <w:kern w:val="24"/>
                <w:sz w:val="20"/>
                <w:szCs w:val="20"/>
              </w:rPr>
              <w:t>asymilacja</w:t>
            </w:r>
            <w:r w:rsidRPr="000C67C6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,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480164">
              <w:rPr>
                <w:rFonts w:ascii="Calibri" w:hAnsi="Calibri" w:cs="HelveticaNeueLTPro-Roman"/>
                <w:i/>
                <w:sz w:val="20"/>
                <w:szCs w:val="20"/>
              </w:rPr>
              <w:t>spółdzielnie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480164">
              <w:rPr>
                <w:rFonts w:ascii="Calibri" w:hAnsi="Calibri" w:cs="HelveticaNeueLTPro-Roman"/>
                <w:i/>
                <w:sz w:val="20"/>
                <w:szCs w:val="20"/>
              </w:rPr>
              <w:t>oszczędnościowo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- </w:t>
            </w:r>
            <w:r w:rsidRPr="00480164">
              <w:rPr>
                <w:rFonts w:ascii="Calibri" w:hAnsi="Calibri" w:cs="HelveticaNeueLTPro-Roman"/>
                <w:i/>
                <w:sz w:val="20"/>
                <w:szCs w:val="20"/>
              </w:rPr>
              <w:t>pożyczkowe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;</w:t>
            </w:r>
          </w:p>
          <w:p w14:paraId="1296C0F6" w14:textId="5E827BE4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identyfikuje postać Franciszka Stefczyka;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54BC0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porównuje rozwój gospodarczy ziem polskich trzech zaborów;</w:t>
            </w:r>
          </w:p>
          <w:p w14:paraId="33EBE1D2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1139" w14:textId="7777777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ocenia postawy Polaków wobec różnych problemów związanych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 xml:space="preserve">z </w:t>
            </w:r>
            <w:r w:rsidRPr="000C67C6">
              <w:rPr>
                <w:rFonts w:ascii="Calibri" w:hAnsi="Calibri" w:cs="HelveticaNeueLTPro-Roman"/>
                <w:kern w:val="24"/>
                <w:sz w:val="20"/>
                <w:szCs w:val="20"/>
              </w:rPr>
              <w:t>rozwojem gospodarczym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 xml:space="preserve">ziem polskich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pod zaborami;</w:t>
            </w:r>
          </w:p>
        </w:tc>
      </w:tr>
      <w:tr w:rsidR="004D7B0B" w:rsidRPr="000C67C6" w14:paraId="360537B4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0B7CA" w14:textId="791690E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Józefa </w:t>
            </w:r>
            <w:r w:rsidRPr="000C67C6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Piłsudskiego, Romana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Dmowskiego, Wincentego Witosa;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8707" w14:textId="71C174E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charakteryzuje orientację proaustriacką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i prorosyjską;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961C" w14:textId="314420A7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.</w:t>
            </w:r>
            <w:r>
              <w:rPr>
                <w:rFonts w:ascii="Calibri" w:hAnsi="Calibri" w:cs="HelveticaNeueLTPro-Roman"/>
                <w:sz w:val="20"/>
                <w:szCs w:val="20"/>
              </w:rPr>
              <w:t xml:space="preserve">zna partie, które powstały na </w:t>
            </w:r>
            <w:proofErr w:type="spellStart"/>
            <w:r>
              <w:rPr>
                <w:rFonts w:ascii="Calibri" w:hAnsi="Calibri" w:cs="HelveticaNeueLTPro-Roman"/>
                <w:sz w:val="20"/>
                <w:szCs w:val="20"/>
              </w:rPr>
              <w:t>z.polskich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9DE5" w14:textId="25ADFE42" w:rsidR="004D7B0B" w:rsidRPr="000C67C6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sz w:val="20"/>
                <w:szCs w:val="20"/>
              </w:rPr>
            </w:pPr>
            <w:r w:rsidRPr="00D41E4F">
              <w:rPr>
                <w:rFonts w:ascii="Calibri" w:hAnsi="Calibri" w:cs="Times New Roman"/>
                <w:sz w:val="20"/>
                <w:szCs w:val="20"/>
              </w:rPr>
              <w:t>– przedstawia założenia ruchu robotniczego i ruchu narodowego;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9CB9E" w14:textId="1F00031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0C67C6">
              <w:rPr>
                <w:rFonts w:ascii="Calibri" w:hAnsi="Calibri" w:cs="Times New Roman"/>
                <w:sz w:val="20"/>
                <w:szCs w:val="20"/>
              </w:rPr>
              <w:t xml:space="preserve"> wyjaśnia, jaki wpływ miała działalność partii politycznych na postawy Polaków pod zaborami;</w:t>
            </w:r>
          </w:p>
        </w:tc>
      </w:tr>
      <w:tr w:rsidR="004D7B0B" w:rsidRPr="000C67C6" w14:paraId="273BFB19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44DB" w14:textId="667BA802" w:rsidR="00ED387B" w:rsidRPr="005E4A6B" w:rsidRDefault="004D7B0B" w:rsidP="00E62102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D41E4F">
              <w:rPr>
                <w:rFonts w:cstheme="minorHAnsi"/>
                <w:sz w:val="20"/>
                <w:szCs w:val="20"/>
              </w:rPr>
              <w:t xml:space="preserve"> </w:t>
            </w:r>
            <w:r w:rsidRPr="00D41E4F">
              <w:rPr>
                <w:rFonts w:ascii="Calibri" w:hAnsi="Calibri" w:cs="HelveticaNeueLTPro-Roman"/>
                <w:sz w:val="20"/>
                <w:szCs w:val="20"/>
              </w:rPr>
              <w:t>zna pojęcia</w:t>
            </w:r>
            <w:r w:rsidRPr="000C67C6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: </w:t>
            </w:r>
            <w:r w:rsidRPr="00187422">
              <w:rPr>
                <w:rFonts w:ascii="Calibri" w:hAnsi="Calibri" w:cs="HelveticaNeueLTPro-Roman"/>
                <w:i/>
                <w:spacing w:val="-12"/>
                <w:kern w:val="24"/>
                <w:sz w:val="20"/>
                <w:szCs w:val="20"/>
              </w:rPr>
              <w:t>pozytywizm</w:t>
            </w:r>
            <w:r w:rsidRPr="000C67C6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,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187422">
              <w:rPr>
                <w:rFonts w:ascii="Calibri" w:hAnsi="Calibri" w:cs="HelveticaNeueLTPro-Roman"/>
                <w:i/>
                <w:sz w:val="20"/>
                <w:szCs w:val="20"/>
              </w:rPr>
              <w:t>praca organiczna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187422">
              <w:rPr>
                <w:rFonts w:ascii="Calibri" w:hAnsi="Calibri" w:cs="HelveticaNeueLTPro-Roman"/>
                <w:i/>
                <w:sz w:val="20"/>
                <w:szCs w:val="20"/>
              </w:rPr>
              <w:t>praca u podstaw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t>,</w:t>
            </w:r>
            <w:r w:rsidRPr="000C67C6">
              <w:rPr>
                <w:sz w:val="20"/>
                <w:szCs w:val="20"/>
              </w:rPr>
              <w:t xml:space="preserve"> </w:t>
            </w:r>
            <w:r w:rsidRPr="00187422">
              <w:rPr>
                <w:rFonts w:ascii="Calibri" w:hAnsi="Calibri" w:cs="HelveticaNeueLTPro-Roman"/>
                <w:i/>
                <w:sz w:val="20"/>
                <w:szCs w:val="20"/>
              </w:rPr>
              <w:t>Młoda Polska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C1723" w14:textId="53A9A62E" w:rsidR="00ED387B" w:rsidRPr="00D41E4F" w:rsidRDefault="004D7B0B" w:rsidP="00ED387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wyjaśnia, dlaczego Galicja stała się centrum polskiej nauki i kultury;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5A022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D41E4F">
              <w:rPr>
                <w:rFonts w:ascii="Calibri" w:hAnsi="Calibri" w:cs="HelveticaNeueLTPro-Roman"/>
                <w:sz w:val="20"/>
                <w:szCs w:val="20"/>
              </w:rPr>
              <w:t xml:space="preserve">– wymienia cechy kultury masowej </w:t>
            </w:r>
            <w:r w:rsidRPr="00D41E4F">
              <w:rPr>
                <w:rFonts w:ascii="Calibri" w:hAnsi="Calibri" w:cs="HelveticaNeueLTPro-Roman"/>
                <w:sz w:val="20"/>
                <w:szCs w:val="20"/>
              </w:rPr>
              <w:br/>
              <w:t>na ziemiach polskich przełomu XIX i XX w.</w:t>
            </w:r>
          </w:p>
          <w:p w14:paraId="534D5C27" w14:textId="27A76B7A" w:rsidR="00ED387B" w:rsidRPr="00E62102" w:rsidRDefault="00ED387B" w:rsidP="00ED387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bCs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84114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>– charakteryzuje sztukę polską przełomu XIX i XX w.</w:t>
            </w:r>
          </w:p>
          <w:p w14:paraId="1C82817D" w14:textId="77777777" w:rsidR="00ED387B" w:rsidRDefault="00ED387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  <w:p w14:paraId="00038524" w14:textId="3896BFA2" w:rsidR="00ED387B" w:rsidRPr="000C67C6" w:rsidRDefault="00ED387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053D" w14:textId="6353E3C3" w:rsidR="00ED387B" w:rsidRPr="005E4A6B" w:rsidRDefault="004D7B0B" w:rsidP="00ED387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sz w:val="20"/>
                <w:szCs w:val="20"/>
              </w:rPr>
            </w:pPr>
            <w:r w:rsidRPr="000C67C6">
              <w:rPr>
                <w:rFonts w:ascii="Calibri" w:hAnsi="Calibri" w:cs="HelveticaNeueLTPro-Roman"/>
                <w:sz w:val="20"/>
                <w:szCs w:val="20"/>
              </w:rPr>
              <w:t xml:space="preserve">– ocenia skuteczność tworzenia literatury </w:t>
            </w:r>
            <w:r w:rsidRPr="000C67C6">
              <w:rPr>
                <w:rFonts w:ascii="Calibri" w:hAnsi="Calibri" w:cs="HelveticaNeueLTPro-Roman"/>
                <w:sz w:val="20"/>
                <w:szCs w:val="20"/>
              </w:rPr>
              <w:br/>
              <w:t>i malarstwa ku pokrzepieniu serc.</w:t>
            </w:r>
          </w:p>
        </w:tc>
      </w:tr>
      <w:tr w:rsidR="004D7B0B" w:rsidRPr="004D7B0B" w14:paraId="4349C11F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1ED81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wyjaśnia znaczenie terminów: trójprzymierze/państwa centralne, trójporozumienie/ententa, aneksja;</w:t>
            </w:r>
          </w:p>
          <w:p w14:paraId="28608B22" w14:textId="48EF4A1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wskazuje na mapie państwa należące 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br/>
              <w:t xml:space="preserve">do trójprzymierza 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br/>
              <w:t xml:space="preserve">i trójporozumienia;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E6DF" w14:textId="1EFA444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wyjaśnia znaczenie terminów: kocioł bałkański;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4B0E9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– wyjaśnia, jaki wpływ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na ład światowy miało powstanie nowych mocarstw 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br/>
              <w:t xml:space="preserve">w drugiej połowie </w:t>
            </w:r>
            <w:r w:rsidRPr="004D7B0B">
              <w:rPr>
                <w:rFonts w:ascii="Calibri" w:hAnsi="Calibri" w:cs="HelveticaNeueLTPro-Roman"/>
                <w:i/>
                <w:iCs/>
                <w:spacing w:val="-10"/>
                <w:kern w:val="24"/>
                <w:sz w:val="20"/>
                <w:szCs w:val="20"/>
                <w:u w:val="single"/>
              </w:rPr>
              <w:t>XIX i na początku XX w.;</w:t>
            </w:r>
          </w:p>
          <w:p w14:paraId="0B75AB92" w14:textId="37C38A0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E01" w14:textId="5F30EE1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 xml:space="preserve">− wskazuje cele trójprzymierza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br/>
              <w:t>i trójporozumienia</w:t>
            </w:r>
          </w:p>
          <w:p w14:paraId="7482DC34" w14:textId="6393F0F5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B990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– ocenia wpływ </w:t>
            </w:r>
            <w:r w:rsidRPr="004D7B0B">
              <w:rPr>
                <w:rFonts w:ascii="Calibri" w:hAnsi="Calibri" w:cs="Times New Roman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konfliktów bałkańskich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ascii="Calibri" w:hAnsi="Calibri" w:cs="Times New Roman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na zaostrzenie sytuacji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 międzynarodowej 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br/>
              <w:t>w Europie.</w:t>
            </w:r>
          </w:p>
        </w:tc>
      </w:tr>
      <w:tr w:rsidR="004D7B0B" w:rsidRPr="004D7B0B" w14:paraId="16280B13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FB68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wyjaśnia znaczenie terminów: Wielka Wojna, front;</w:t>
            </w:r>
          </w:p>
          <w:p w14:paraId="7DADCC53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pacing w:val="-12"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identyfikuje postać Franciszka  </w:t>
            </w:r>
            <w:r w:rsidRPr="004D7B0B">
              <w:rPr>
                <w:rFonts w:ascii="Calibri" w:hAnsi="Calibri" w:cs="HelveticaNeueLTPro-Roman"/>
                <w:i/>
                <w:iCs/>
                <w:spacing w:val="-12"/>
                <w:kern w:val="24"/>
                <w:sz w:val="20"/>
                <w:szCs w:val="20"/>
                <w:u w:val="single"/>
              </w:rPr>
              <w:t>Ferdynanda Habsburga;</w:t>
            </w:r>
          </w:p>
          <w:p w14:paraId="69AAF227" w14:textId="2B4983D0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zna daty: zamachu w Sarajewie (28 VI 1914),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B0B0" w14:textId="7E95833A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zna pojęcia:  wojna błyskawiczna, wojna pozycyjna, wojna manewrowa,  nieograniczona wojna podwodna;</w:t>
            </w:r>
          </w:p>
          <w:p w14:paraId="149866ED" w14:textId="5699C86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7F2D3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wyjaśnia, jaki wpływ na przebieg wojny miało wprowadzenie nowych rodzajów broni;</w:t>
            </w:r>
          </w:p>
          <w:p w14:paraId="70A0DDB6" w14:textId="4AEF9A9F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</w:p>
          <w:p w14:paraId="0866E506" w14:textId="64AAD92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6B8A8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opisuje przebieg walk na froncie zachodnim i wschodnim;</w:t>
            </w:r>
          </w:p>
          <w:p w14:paraId="5C76CFF5" w14:textId="4403654C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8759C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porównuje taktykę prowadzenia działań na froncie wschodnim i zachodnim.</w:t>
            </w:r>
          </w:p>
          <w:p w14:paraId="7D649153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4D7B0B" w:rsidRPr="004D7B0B" w14:paraId="4A54E1C6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93D51" w14:textId="0FA6DFA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zna daty: wybuchu rewolucji lutowej i październikowej</w:t>
            </w:r>
          </w:p>
          <w:p w14:paraId="32C01F03" w14:textId="6A28A6AE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rozwinie skrót ZSRS.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281B2" w14:textId="1BD8ED60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zna pojęcia:: rewolucja lutowa, rewolucja październikowa;</w:t>
            </w:r>
          </w:p>
          <w:p w14:paraId="51FC5431" w14:textId="67A6196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identyfikuje postać Mikołaja II;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D00ED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omawia sytuację wewnętrzną w Rosji w czasie I wojny światowej;</w:t>
            </w:r>
          </w:p>
          <w:p w14:paraId="38D97132" w14:textId="1371236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C58A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wymienia </w:t>
            </w:r>
            <w:r w:rsidRPr="004D7B0B">
              <w:rPr>
                <w:rFonts w:ascii="Calibri" w:hAnsi="Calibri" w:cs="HelveticaNeueLTPro-Roman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założenia programowe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rosyjskich </w:t>
            </w:r>
            <w:r w:rsidRPr="004D7B0B">
              <w:rPr>
                <w:rFonts w:ascii="Calibri" w:hAnsi="Calibri" w:cs="HelveticaNeueLTPro-Roman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stronnictw politycznych;</w:t>
            </w:r>
          </w:p>
          <w:p w14:paraId="612B8644" w14:textId="7666FA8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ADB88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ocenia skutki przewrotu bolszewickiego 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br/>
              <w:t>dla Rosji i Europy.</w:t>
            </w:r>
          </w:p>
        </w:tc>
      </w:tr>
      <w:tr w:rsidR="004D7B0B" w:rsidRPr="004D7B0B" w14:paraId="5A497EF4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069ED" w14:textId="52605B95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lastRenderedPageBreak/>
              <w:t>-zna osoby: Ignacy Jan Paderewski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B533" w14:textId="57D14DE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omawia udział polskich formacji zbrojnych u boku państw centralnych i u boku ententy.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64263" w14:textId="72380DDB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 xml:space="preserve">− wyjaśnia znaczenie terminów: Akt 5 listopada (manifest dwóch cesarzy),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F870C" w14:textId="6B787A6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1D274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− wymienia postanowienia konferencji wersalskiej w sprawie polskiej.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9151" w14:textId="07FD88C9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 porównuje taktykę prowadzenia działań </w:t>
            </w:r>
            <w:r w:rsidRPr="004D7B0B">
              <w:rPr>
                <w:rFonts w:ascii="Calibri" w:hAnsi="Calibri" w:cs="HelveticaNeueLTPro-Roman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na froncie wschodnim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i zachodnim;</w:t>
            </w:r>
          </w:p>
        </w:tc>
      </w:tr>
      <w:tr w:rsidR="004D7B0B" w:rsidRPr="004D7B0B" w14:paraId="4DD40773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E517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wyjaśnia znaczenie terminów: Liga Narodów, wielki kryzys gospodarczy;</w:t>
            </w:r>
          </w:p>
          <w:p w14:paraId="3B54A246" w14:textId="16CA8409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przedstawia zniszczenia i straty po I wojnie światowej;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D30" w14:textId="6C7DB6FA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zna pojęcia:: Wielka Czwórka, New Deal;</w:t>
            </w:r>
          </w:p>
          <w:p w14:paraId="658FD423" w14:textId="54ABBAD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–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wskazuje na mapie państwa powstałe po I wojnie światowej;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6701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– charakteryzuje przejawy wielkiego </w:t>
            </w:r>
            <w:r w:rsidRPr="004D7B0B">
              <w:rPr>
                <w:rFonts w:ascii="Calibri" w:hAnsi="Calibri" w:cs="Times New Roman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kryzysu gospodarczego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 i sposoby radzenia sobie z nim;</w:t>
            </w:r>
          </w:p>
          <w:p w14:paraId="7067B15C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0A686" w14:textId="71A2A68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–zna </w:t>
            </w:r>
            <w:proofErr w:type="spellStart"/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>postanopwienia</w:t>
            </w:r>
            <w:proofErr w:type="spellEnd"/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 traktatu wersalskiego wobec Niemiec</w:t>
            </w:r>
          </w:p>
          <w:p w14:paraId="61C114F4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D046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>– ocenia skuteczność funkcjonowania ładu wersalskiego;</w:t>
            </w:r>
          </w:p>
          <w:p w14:paraId="0674E724" w14:textId="7B629E83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4D7B0B" w:rsidRPr="004D7B0B" w14:paraId="29039338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0C124" w14:textId="29947E7E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wyjaśnia znaczenie terminów:  narodowy socjalizm (nazizm</w:t>
            </w:r>
            <w:r w:rsidRPr="004D7B0B">
              <w:rPr>
                <w:rFonts w:ascii="Calibri" w:hAnsi="Calibri" w:cs="HelveticaNeueLTPro-Roman"/>
                <w:i/>
                <w:iCs/>
                <w:spacing w:val="-14"/>
                <w:kern w:val="24"/>
                <w:sz w:val="20"/>
                <w:szCs w:val="20"/>
                <w:u w:val="single"/>
              </w:rPr>
              <w:t>),</w:t>
            </w:r>
            <w:r w:rsidRPr="004D7B0B">
              <w:rPr>
                <w:i/>
                <w:iCs/>
                <w:spacing w:val="-14"/>
                <w:kern w:val="24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obóz koncentracyjny, </w:t>
            </w:r>
            <w:proofErr w:type="spellStart"/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führer</w:t>
            </w:r>
            <w:proofErr w:type="spellEnd"/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;</w:t>
            </w:r>
          </w:p>
          <w:p w14:paraId="2FC85973" w14:textId="0B82D0EF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identyfikuje postacie: , Adolfa Hitlera;</w:t>
            </w:r>
          </w:p>
          <w:p w14:paraId="412D4154" w14:textId="0E19FD9A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>– wymienia cechy charakterystyczne faszyzmu i nazizmu.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01527" w14:textId="2EF3D5E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–zna pojęcia: </w:t>
            </w:r>
            <w:r w:rsidRPr="004D7B0B">
              <w:rPr>
                <w:rFonts w:ascii="Calibri" w:hAnsi="Calibri" w:cs="HelveticaNeueLTPro-Roman"/>
                <w:i/>
                <w:iCs/>
                <w:spacing w:val="-14"/>
                <w:kern w:val="24"/>
                <w:sz w:val="20"/>
                <w:szCs w:val="20"/>
                <w:u w:val="single"/>
              </w:rPr>
              <w:t>antysemityzm,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„ustawy norymberskie, totalitaryzm,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Gestapo;</w:t>
            </w:r>
          </w:p>
          <w:p w14:paraId="314E3889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>– charakteryzuje politykę nazistów wobec Żydów.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BF9B" w14:textId="047B5796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zna pojęcia:: noc długich noży, ustawy norymberskie, noc kryształowa, totalitaryzm;</w:t>
            </w:r>
          </w:p>
          <w:p w14:paraId="57C68B9C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>– wyjaśnia, w jaki sposób naziści kontrolowali życie obywateli.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CBDE" w14:textId="032719EB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>– zna pojęcia:</w:t>
            </w:r>
            <w:r w:rsidRPr="004D7B0B">
              <w:rPr>
                <w:rFonts w:ascii="Calibri" w:hAnsi="Calibri" w:cs="HelveticaNeueLTPro-Roman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 xml:space="preserve">: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korporacja, indoktrynacja</w:t>
            </w:r>
          </w:p>
          <w:p w14:paraId="1CA1D4B6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– omawia przyczyny </w:t>
            </w:r>
            <w:r w:rsidRPr="004D7B0B">
              <w:rPr>
                <w:rFonts w:ascii="Calibri" w:hAnsi="Calibri" w:cs="Times New Roman"/>
                <w:i/>
                <w:iCs/>
                <w:spacing w:val="-10"/>
                <w:kern w:val="24"/>
                <w:sz w:val="20"/>
                <w:szCs w:val="20"/>
                <w:u w:val="single"/>
              </w:rPr>
              <w:t>popularności faszystów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ascii="Calibri" w:hAnsi="Calibri" w:cs="Times New Roman"/>
                <w:i/>
                <w:iCs/>
                <w:spacing w:val="-12"/>
                <w:kern w:val="24"/>
                <w:sz w:val="20"/>
                <w:szCs w:val="20"/>
                <w:u w:val="single"/>
              </w:rPr>
              <w:t>we Włoszech i nazistów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 w Niemczech.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FEF2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>– wyjaśnia, dlaczego w Europie zyskały popularność rządy totalitarne;</w:t>
            </w:r>
          </w:p>
          <w:p w14:paraId="55A15340" w14:textId="43B18BA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t xml:space="preserve">– ocenia zbrodniczą politykę nazistów </w:t>
            </w:r>
            <w:r w:rsidRPr="004D7B0B">
              <w:rPr>
                <w:rFonts w:ascii="Calibri" w:hAnsi="Calibri" w:cs="Times New Roman"/>
                <w:i/>
                <w:iCs/>
                <w:sz w:val="20"/>
                <w:szCs w:val="20"/>
                <w:u w:val="single"/>
              </w:rPr>
              <w:br/>
              <w:t>do 1939 r.;</w:t>
            </w:r>
          </w:p>
        </w:tc>
      </w:tr>
      <w:tr w:rsidR="004D7B0B" w:rsidRPr="004D7B0B" w14:paraId="514A8CC3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A62E" w14:textId="5E185CDB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zna pojęcia: stalinizm, kult jednostki, łagier;</w:t>
            </w:r>
          </w:p>
          <w:p w14:paraId="55D01CBB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wymienia cechy charakterystyczne państwa stalinowskiego</w:t>
            </w:r>
            <w:r w:rsidRPr="004D7B0B"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1D02" w14:textId="46B38C9A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zna </w:t>
            </w:r>
            <w:proofErr w:type="spellStart"/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pojęcia:Nowa</w:t>
            </w:r>
            <w:proofErr w:type="spellEnd"/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Ekonomiczna Polityka,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wielka czystka, NKWD,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Gułag;</w:t>
            </w:r>
          </w:p>
          <w:p w14:paraId="6D39F415" w14:textId="25B7986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– identyfikuje postać Józefa Stalina;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6A0E" w14:textId="7125C330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zna pojęcia: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kołchoz,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kolektywizacja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rolnictwa, gospodarka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planowa, czystka;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7DD2F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wyjaśnia, dlaczego </w:t>
            </w:r>
            <w:r w:rsidRPr="004D7B0B">
              <w:rPr>
                <w:rFonts w:cstheme="minorHAnsi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system komunistyczny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w ZSRS jest oceniany jako zbrodniczy;</w:t>
            </w:r>
          </w:p>
          <w:p w14:paraId="59AD4CC8" w14:textId="005F4456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C68D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ocenia skutki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reform gospodarczych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wprowadzonych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w ZSRS przez Stalina.</w:t>
            </w:r>
          </w:p>
          <w:p w14:paraId="011D04B7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4D7B0B" w:rsidRPr="004D7B0B" w14:paraId="35FAC2A7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F9540" w14:textId="0D46A0D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zna pojęcia:: aneksja, </w:t>
            </w:r>
            <w:proofErr w:type="spellStart"/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Anschluss</w:t>
            </w:r>
            <w:proofErr w:type="spellEnd"/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 xml:space="preserve">,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oś Berlin- </w:t>
            </w:r>
            <w:r w:rsidRPr="004D7B0B">
              <w:rPr>
                <w:rFonts w:cstheme="minorHAnsi"/>
                <w:i/>
                <w:iCs/>
                <w:spacing w:val="-12"/>
                <w:kern w:val="24"/>
                <w:sz w:val="20"/>
                <w:szCs w:val="20"/>
                <w:u w:val="single"/>
              </w:rPr>
              <w:t xml:space="preserve">Rzym-Tokio (państwa osi);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A9A70" w14:textId="765CD03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 xml:space="preserve">− zna daty: </w:t>
            </w:r>
            <w:proofErr w:type="spellStart"/>
            <w:r w:rsidRPr="004D7B0B">
              <w:rPr>
                <w:rFonts w:cs="Humanst521EU-Italic"/>
                <w:i/>
                <w:iCs/>
                <w:sz w:val="20"/>
                <w:szCs w:val="20"/>
                <w:u w:val="single"/>
              </w:rPr>
              <w:t>Anschlussu</w:t>
            </w:r>
            <w:proofErr w:type="spellEnd"/>
            <w:r w:rsidRPr="004D7B0B">
              <w:rPr>
                <w:rFonts w:cs="Humanst521EU-Italic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Austrii (III 1938),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A9A7" w14:textId="77777777" w:rsidR="004D7B0B" w:rsidRPr="004D7B0B" w:rsidRDefault="004D7B0B" w:rsidP="004D7B0B">
            <w:pPr>
              <w:pStyle w:val="Bezodstpw"/>
              <w:spacing w:line="0" w:lineRule="atLeast"/>
              <w:rPr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i/>
                <w:iCs/>
                <w:sz w:val="20"/>
                <w:szCs w:val="20"/>
                <w:u w:val="single"/>
              </w:rPr>
              <w:t xml:space="preserve">– przedstawia </w:t>
            </w:r>
            <w:r w:rsidRPr="004D7B0B">
              <w:rPr>
                <w:i/>
                <w:iCs/>
                <w:kern w:val="24"/>
                <w:sz w:val="20"/>
                <w:szCs w:val="20"/>
                <w:u w:val="single"/>
              </w:rPr>
              <w:t xml:space="preserve">przyczyny </w:t>
            </w:r>
            <w:proofErr w:type="spellStart"/>
            <w:r w:rsidRPr="004D7B0B">
              <w:rPr>
                <w:i/>
                <w:iCs/>
                <w:spacing w:val="-2"/>
                <w:kern w:val="24"/>
                <w:sz w:val="20"/>
                <w:szCs w:val="20"/>
                <w:u w:val="single"/>
              </w:rPr>
              <w:t>Anschlussu</w:t>
            </w:r>
            <w:proofErr w:type="spellEnd"/>
            <w:r w:rsidRPr="004D7B0B">
              <w:rPr>
                <w:i/>
                <w:iCs/>
                <w:sz w:val="20"/>
                <w:szCs w:val="20"/>
                <w:u w:val="single"/>
              </w:rPr>
              <w:t xml:space="preserve"> Austrii;</w:t>
            </w:r>
          </w:p>
          <w:p w14:paraId="7A5E1FDF" w14:textId="2BBF75A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3121" w14:textId="61AC5519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zna daty: wojny domowej w Hiszpanii (1936-1939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5021" w14:textId="05F2F271" w:rsidR="004D7B0B" w:rsidRPr="004D7B0B" w:rsidRDefault="004D7B0B" w:rsidP="004D7B0B">
            <w:pPr>
              <w:spacing w:line="0" w:lineRule="atLeast"/>
              <w:rPr>
                <w:rFonts w:ascii="Calibri" w:hAnsi="Calibr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4D7B0B" w:rsidRPr="004D7B0B" w14:paraId="62B22228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A876" w14:textId="67D4656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ascii="Calibri" w:hAnsi="Calibri" w:cs="HelveticaNeueLTPro-Roman"/>
                <w:i/>
                <w:iCs/>
                <w:u w:val="single"/>
              </w:rPr>
              <w:t xml:space="preserve">-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wie, dlaczego 11 listopada stał się symboliczna datą odzyskania  przez Polskę niepodległości.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6DEA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– omawia okoliczności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przejęcia władzy przez Józefa Piłsudskiego.</w:t>
            </w:r>
          </w:p>
          <w:p w14:paraId="4F9272EA" w14:textId="77777777" w:rsidR="004D7B0B" w:rsidRPr="004D7B0B" w:rsidRDefault="004D7B0B" w:rsidP="004D7B0B">
            <w:pPr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78903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wyjaśnia, w jaki sposób sytuacja międzynarodowa, która zaistniała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 xml:space="preserve">pod koniec 1918 r., </w:t>
            </w:r>
            <w:r w:rsidRPr="004D7B0B">
              <w:rPr>
                <w:rFonts w:cstheme="minorHAnsi"/>
                <w:i/>
                <w:iCs/>
                <w:spacing w:val="-12"/>
                <w:kern w:val="24"/>
                <w:sz w:val="20"/>
                <w:szCs w:val="20"/>
                <w:u w:val="single"/>
              </w:rPr>
              <w:t>wpłynęła na odzyskanie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niepodległości przez Polskę.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2076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przedstawia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 xml:space="preserve">założenia programowe </w:t>
            </w:r>
            <w:r w:rsidRPr="004D7B0B">
              <w:rPr>
                <w:rFonts w:cstheme="minorHAnsi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tymczasowych ośrodków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władzy;</w:t>
            </w:r>
          </w:p>
          <w:p w14:paraId="6D0A500B" w14:textId="5A433AC5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FC976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ocenia rolę, jaką odegrał Józef Piłsudski w momencie odzyskania niepodległości.</w:t>
            </w:r>
          </w:p>
          <w:p w14:paraId="2B407415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4D7B0B" w:rsidRPr="004D7B0B" w14:paraId="7F3C755D" w14:textId="77777777" w:rsidTr="0F8D39D4">
        <w:trPr>
          <w:trHeight w:val="1407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3B157" w14:textId="79D2399A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zna daty: Bitwy Warszawskiej (15 VIII 1920</w:t>
            </w:r>
          </w:p>
          <w:p w14:paraId="201CEB36" w14:textId="07A9F476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identyfikuje postacie: Romana Dmowskiego, Józefa Piłsudskiego;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4020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wyjaśnia znaczenie terminu  Orlęta lwowskie;</w:t>
            </w:r>
          </w:p>
          <w:p w14:paraId="4D79C03C" w14:textId="6032784C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ADE4" w14:textId="77F1228C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ascii="Calibri" w:hAnsi="Calibri" w:cs="HelveticaNeueLTPro-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zna pojęcia:  „cud nad Wisłą”,</w:t>
            </w:r>
          </w:p>
          <w:p w14:paraId="058788F1" w14:textId="00F0864F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wskazuje na mapie </w:t>
            </w:r>
            <w:r w:rsidRPr="004D7B0B">
              <w:rPr>
                <w:rFonts w:cstheme="minorHAnsi"/>
                <w:i/>
                <w:iCs/>
                <w:kern w:val="24"/>
                <w:sz w:val="20"/>
                <w:szCs w:val="20"/>
                <w:u w:val="single"/>
              </w:rPr>
              <w:t xml:space="preserve">obszary plebiscytowe,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7884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charakteryzuje kształtowanie się granic odrodzonej Polski z wykorzystaniem mapy;</w:t>
            </w:r>
          </w:p>
          <w:p w14:paraId="0F78C9EC" w14:textId="0769FA7F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B2607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omawia okoliczności zaślubin Polski z morzem.</w:t>
            </w:r>
          </w:p>
          <w:p w14:paraId="1E7EBD9A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4D7B0B" w:rsidRPr="004D7B0B" w14:paraId="65701EFE" w14:textId="77777777" w:rsidTr="0F8D39D4">
        <w:trPr>
          <w:trHeight w:val="1798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63F19" w14:textId="3321BEF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lastRenderedPageBreak/>
              <w:t>– zna daty: uchwalenia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konstytucji marcowej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(17 III 1921</w:t>
            </w:r>
          </w:p>
          <w:p w14:paraId="77CED527" w14:textId="64B2544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pacing w:val="-16"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zna osoby:  Józefa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Piłsudskiego,</w:t>
            </w:r>
            <w:r w:rsidRPr="004D7B0B">
              <w:rPr>
                <w:i/>
                <w:iCs/>
                <w:spacing w:val="-4"/>
                <w:kern w:val="24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Romana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Dmowskiego, Gabriela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14"/>
                <w:sz w:val="20"/>
                <w:szCs w:val="20"/>
                <w:u w:val="single"/>
              </w:rPr>
              <w:t>Narutowicza</w:t>
            </w:r>
            <w:r w:rsidRPr="004D7B0B">
              <w:rPr>
                <w:rFonts w:cstheme="minorHAnsi"/>
                <w:i/>
                <w:iCs/>
                <w:spacing w:val="-14"/>
                <w:kern w:val="24"/>
                <w:sz w:val="20"/>
                <w:szCs w:val="20"/>
                <w:u w:val="single"/>
              </w:rPr>
              <w:t>, Stanisława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Wojciechowskiego;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4425C" w14:textId="6E102C7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zna pojęcia: mała konstytucja, konstytucja marcowa, hiperinflacja;</w:t>
            </w:r>
          </w:p>
          <w:p w14:paraId="26C3628F" w14:textId="238750DE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wymienia postanowienia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konstytucji marcowej;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4943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wymienia postanowienia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małej konstytucji;</w:t>
            </w:r>
          </w:p>
          <w:p w14:paraId="576BBF73" w14:textId="560DA65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 xml:space="preserve">– omawia okoliczności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i skutki zamachu na prezydenta Gabriela Narutowicza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93ABC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charakteryzuje scenę polityczną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II Rzeczypospolitej;</w:t>
            </w:r>
          </w:p>
          <w:p w14:paraId="4C7F30C9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B6D62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charakteryzuje wpływ słabości politycznej rządów parlamentarnych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 xml:space="preserve">na pozycję międzynarodową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II Rzeczypospolitej</w:t>
            </w:r>
            <w:r w:rsidRPr="004D7B0B"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  <w:t>.</w:t>
            </w:r>
          </w:p>
        </w:tc>
      </w:tr>
      <w:tr w:rsidR="004D7B0B" w:rsidRPr="004D7B0B" w14:paraId="05B0899B" w14:textId="77777777" w:rsidTr="0F8D39D4">
        <w:trPr>
          <w:trHeight w:val="1448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3F5A" w14:textId="25094330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-zna pojęcia: zamach majowy, </w:t>
            </w:r>
          </w:p>
          <w:p w14:paraId="6360F2A8" w14:textId="1263ED2C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zna daty: zamachu majowego </w:t>
            </w:r>
            <w:r w:rsidRPr="004D7B0B">
              <w:rPr>
                <w:rFonts w:cstheme="minorHAnsi"/>
                <w:i/>
                <w:iCs/>
                <w:spacing w:val="-14"/>
                <w:kern w:val="24"/>
                <w:sz w:val="20"/>
                <w:szCs w:val="20"/>
                <w:u w:val="single"/>
              </w:rPr>
              <w:t>(12 V 1926), uchwalenia</w:t>
            </w:r>
            <w:r w:rsidRPr="004D7B0B">
              <w:rPr>
                <w:rFonts w:cstheme="minorHAnsi"/>
                <w:i/>
                <w:iCs/>
                <w:spacing w:val="-14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12"/>
                <w:kern w:val="24"/>
                <w:sz w:val="20"/>
                <w:szCs w:val="20"/>
                <w:u w:val="single"/>
              </w:rPr>
              <w:t>konstytucji kwietniowej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(23 IV 1935);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0DB77" w14:textId="793414A2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zna pojęcia:  nowela sierpniowa, autorytaryzm, konstytucja kwietniowa, polityka równowagi;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0D4F8" w14:textId="5E088B3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opisuje skutki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polityczne i ustrojowe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zamachu majowego;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74021" w14:textId="08D1299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porównuje pozycję prezydenta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 xml:space="preserve">w konstytucjach marcowej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i kwietniowej;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1BA9B" w14:textId="5B34C48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charakteryzuje polski autorytaryzm na tle przemian politycznych w Europie;</w:t>
            </w:r>
          </w:p>
        </w:tc>
      </w:tr>
      <w:tr w:rsidR="004D7B0B" w:rsidRPr="004D7B0B" w14:paraId="626C204C" w14:textId="77777777" w:rsidTr="0F8D39D4">
        <w:trPr>
          <w:trHeight w:val="1270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9CA4" w14:textId="13A76E78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wyjaśnia znaczenie terminów: Polska A i Polska B, Centralny Okręg Przemysłowy;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E9C3" w14:textId="6EAEBDA5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 xml:space="preserve">−zna pojęcia: reforma rolna, reforma walutowa, hiperinflacja, </w:t>
            </w:r>
          </w:p>
          <w:p w14:paraId="451B119C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F6CD5" w14:textId="7DF049ED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zna pojęcia:</w:t>
            </w:r>
            <w:r w:rsidRPr="004D7B0B"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asymilacja narodowa,</w:t>
            </w:r>
          </w:p>
          <w:p w14:paraId="342EDF15" w14:textId="73DE298A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przedstawia strukturę społeczną II Rzeczypospolitej.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CAD9A" w14:textId="1ED4E0FB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opisuje sposoby przezwyciężania trudności gospodarczych przez władze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II Rzeczypospolitej;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F3B5" w14:textId="19459E4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ocenia wpływ reform Władysława Grabskiego na sytuacje gospodarczą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II Rzeczypospolitej;</w:t>
            </w:r>
          </w:p>
        </w:tc>
      </w:tr>
      <w:tr w:rsidR="004D7B0B" w:rsidRPr="004D7B0B" w14:paraId="00CAD7B5" w14:textId="77777777" w:rsidTr="0F8D39D4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2E32" w14:textId="4CAE7649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zna pojęcia: 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>analfabetyzm;</w:t>
            </w:r>
          </w:p>
          <w:p w14:paraId="7C6D0C0D" w14:textId="5424891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identyfikuje postacie: Władysława Reymonta, Stefana Żeromskiego;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0754" w14:textId="1D2AB0AF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wyjaśnia znaczenie terminów:</w:t>
            </w:r>
            <w:r w:rsidRPr="004D7B0B"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ekspresjonizm, impresjonizm;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AF5C" w14:textId="18AC183E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857DC5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omawia rozwój edukacji w </w:t>
            </w:r>
            <w:r w:rsidRPr="00857DC5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 xml:space="preserve">II Rzeczypospolitej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FA9BE" w14:textId="59151CD1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- wymienia polskich twórców w dwudziestoleciu międzywojennym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9DF1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ocenia dorobek kultury i nauki polskiej w okresie międzywojennym.</w:t>
            </w:r>
          </w:p>
        </w:tc>
      </w:tr>
      <w:tr w:rsidR="004D7B0B" w:rsidRPr="004D7B0B" w14:paraId="506A6762" w14:textId="77777777" w:rsidTr="0F8D39D4">
        <w:trPr>
          <w:trHeight w:val="1872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C3C56" w14:textId="77777777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zna datę paktu </w:t>
            </w:r>
            <w:r w:rsidRPr="004D7B0B">
              <w:rPr>
                <w:rFonts w:cstheme="minorHAnsi"/>
                <w:i/>
                <w:iCs/>
                <w:spacing w:val="-6"/>
                <w:kern w:val="24"/>
                <w:sz w:val="20"/>
                <w:szCs w:val="20"/>
                <w:u w:val="single"/>
              </w:rPr>
              <w:t>Ribbentrop-Mołotow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spacing w:val="-4"/>
                <w:kern w:val="24"/>
                <w:sz w:val="20"/>
                <w:szCs w:val="20"/>
                <w:u w:val="single"/>
              </w:rPr>
              <w:t>(23 VIII 1939);</w:t>
            </w:r>
          </w:p>
          <w:p w14:paraId="66BCC35B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kern w:val="24"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pacing w:val="-10"/>
                <w:sz w:val="20"/>
                <w:szCs w:val="20"/>
                <w:u w:val="single"/>
              </w:rPr>
              <w:t xml:space="preserve">– przedstawia </w:t>
            </w:r>
            <w:r w:rsidRPr="004D7B0B">
              <w:rPr>
                <w:rFonts w:cstheme="minorHAnsi"/>
                <w:i/>
                <w:iCs/>
                <w:spacing w:val="-10"/>
                <w:kern w:val="24"/>
                <w:sz w:val="20"/>
                <w:szCs w:val="20"/>
                <w:u w:val="single"/>
              </w:rPr>
              <w:t>żądania,</w:t>
            </w:r>
            <w:r w:rsidRPr="004D7B0B">
              <w:rPr>
                <w:rFonts w:cstheme="minorHAnsi"/>
                <w:i/>
                <w:iCs/>
                <w:spacing w:val="-8"/>
                <w:kern w:val="24"/>
                <w:sz w:val="20"/>
                <w:szCs w:val="20"/>
                <w:u w:val="single"/>
              </w:rPr>
              <w:t xml:space="preserve"> </w:t>
            </w:r>
            <w:r w:rsidRPr="004D7B0B">
              <w:rPr>
                <w:rFonts w:cstheme="minorHAnsi"/>
                <w:i/>
                <w:iCs/>
                <w:kern w:val="24"/>
                <w:sz w:val="20"/>
                <w:szCs w:val="20"/>
                <w:u w:val="single"/>
              </w:rPr>
              <w:t>jakie III Rzesza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wysunęła </w:t>
            </w:r>
            <w:r w:rsidRPr="004D7B0B">
              <w:rPr>
                <w:rFonts w:cstheme="minorHAnsi"/>
                <w:i/>
                <w:iCs/>
                <w:kern w:val="24"/>
                <w:sz w:val="20"/>
                <w:szCs w:val="20"/>
                <w:u w:val="single"/>
              </w:rPr>
              <w:t>wobec Polski w 1938 r.;</w:t>
            </w:r>
          </w:p>
          <w:p w14:paraId="2A42FC2E" w14:textId="6E3ADD97" w:rsidR="00ED387B" w:rsidRPr="004D7B0B" w:rsidRDefault="00ED387B" w:rsidP="00E62102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127B5" w14:textId="01A6B1C4" w:rsidR="004D7B0B" w:rsidRP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-zna pojęcia: eksterytorialność;</w:t>
            </w:r>
          </w:p>
          <w:p w14:paraId="0C96B3D1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  <w:p w14:paraId="37065DEC" w14:textId="77777777" w:rsidR="00ED387B" w:rsidRDefault="00ED387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color w:val="00B0F0"/>
                <w:sz w:val="20"/>
                <w:szCs w:val="20"/>
                <w:u w:val="single"/>
              </w:rPr>
            </w:pPr>
          </w:p>
          <w:p w14:paraId="38AD3A3B" w14:textId="3EA70558" w:rsidR="00ED387B" w:rsidRPr="00ED387B" w:rsidRDefault="00ED387B" w:rsidP="005E4A6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color w:val="00B0F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4498E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–  omawia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 xml:space="preserve">postawę władz </w:t>
            </w: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br/>
              <w:t>II Rzeczypospolitej wobec żądań niemieckich;</w:t>
            </w:r>
          </w:p>
          <w:p w14:paraId="26F0825B" w14:textId="411FC7A0" w:rsidR="00ED387B" w:rsidRPr="00ED387B" w:rsidRDefault="00ED387B" w:rsidP="00ED387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E09D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="Humanst521EU-Normal"/>
                <w:i/>
                <w:iCs/>
                <w:sz w:val="20"/>
                <w:szCs w:val="20"/>
                <w:u w:val="single"/>
              </w:rPr>
              <w:t>− wyjaśnia, jakie znaczenie dla Polski miało zawarcie paktu Ribbentrop-Mołotow.</w:t>
            </w:r>
          </w:p>
          <w:p w14:paraId="129CA27A" w14:textId="77777777" w:rsidR="00ED387B" w:rsidRDefault="00ED387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i/>
                <w:iCs/>
                <w:sz w:val="20"/>
                <w:szCs w:val="20"/>
                <w:u w:val="single"/>
              </w:rPr>
            </w:pPr>
          </w:p>
          <w:p w14:paraId="1AD35DDE" w14:textId="4F91F168" w:rsidR="00ED387B" w:rsidRPr="00ED387B" w:rsidRDefault="00ED387B" w:rsidP="005E4A6B">
            <w:pPr>
              <w:autoSpaceDE w:val="0"/>
              <w:autoSpaceDN w:val="0"/>
              <w:adjustRightInd w:val="0"/>
              <w:spacing w:line="0" w:lineRule="atLeast"/>
              <w:rPr>
                <w:rFonts w:cs="Humanst521EU-Normal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363A0" w14:textId="77777777" w:rsidR="004D7B0B" w:rsidRDefault="004D7B0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 w:rsidRPr="004D7B0B">
              <w:rPr>
                <w:rFonts w:cstheme="minorHAnsi"/>
                <w:i/>
                <w:iCs/>
                <w:sz w:val="20"/>
                <w:szCs w:val="20"/>
                <w:u w:val="single"/>
              </w:rPr>
              <w:t>– ocenia postawę rządu polskiego wobec problemu Zaolzia.</w:t>
            </w:r>
          </w:p>
          <w:p w14:paraId="0A15CBC0" w14:textId="77777777" w:rsidR="00ED387B" w:rsidRDefault="00ED387B" w:rsidP="004D7B0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</w:p>
          <w:p w14:paraId="35EFED2B" w14:textId="6D711566" w:rsidR="00ED387B" w:rsidRPr="00ED387B" w:rsidRDefault="00ED387B" w:rsidP="00ED387B">
            <w:pPr>
              <w:autoSpaceDE w:val="0"/>
              <w:autoSpaceDN w:val="0"/>
              <w:adjustRightInd w:val="0"/>
              <w:spacing w:line="0" w:lineRule="atLeast"/>
              <w:rPr>
                <w:rFonts w:cstheme="minorHAnsi"/>
                <w:sz w:val="20"/>
                <w:szCs w:val="20"/>
              </w:rPr>
            </w:pPr>
          </w:p>
        </w:tc>
      </w:tr>
    </w:tbl>
    <w:p w14:paraId="1D0CEF7F" w14:textId="77777777" w:rsidR="00FD6BF5" w:rsidRPr="004D7B0B" w:rsidRDefault="00FD6BF5" w:rsidP="004D7B0B">
      <w:pPr>
        <w:spacing w:line="0" w:lineRule="atLeast"/>
        <w:rPr>
          <w:i/>
          <w:iCs/>
          <w:sz w:val="20"/>
          <w:szCs w:val="20"/>
          <w:u w:val="single"/>
        </w:rPr>
      </w:pPr>
    </w:p>
    <w:p w14:paraId="71DC9C6C" w14:textId="2ED5F5C1" w:rsidR="00942AD2" w:rsidRPr="004D7B0B" w:rsidRDefault="004D7B0B" w:rsidP="004D7B0B">
      <w:pPr>
        <w:spacing w:line="0" w:lineRule="atLeast"/>
        <w:rPr>
          <w:i/>
          <w:iCs/>
          <w:sz w:val="20"/>
          <w:szCs w:val="20"/>
          <w:u w:val="single"/>
        </w:rPr>
      </w:pPr>
      <w:bookmarkStart w:id="1" w:name="_Hlk130894133"/>
      <w:r>
        <w:rPr>
          <w:i/>
          <w:iCs/>
          <w:sz w:val="20"/>
          <w:szCs w:val="20"/>
          <w:u w:val="single"/>
        </w:rPr>
        <w:t>Treści zaznaczone po</w:t>
      </w:r>
      <w:r w:rsidR="0049066A">
        <w:rPr>
          <w:i/>
          <w:iCs/>
          <w:sz w:val="20"/>
          <w:szCs w:val="20"/>
          <w:u w:val="single"/>
        </w:rPr>
        <w:t>dkreślon</w:t>
      </w:r>
      <w:r>
        <w:rPr>
          <w:i/>
          <w:iCs/>
          <w:sz w:val="20"/>
          <w:szCs w:val="20"/>
          <w:u w:val="single"/>
        </w:rPr>
        <w:t>ą kursywą dotyczą półrocza drugiego</w:t>
      </w:r>
    </w:p>
    <w:bookmarkEnd w:id="1"/>
    <w:p w14:paraId="489CD63E" w14:textId="77777777" w:rsidR="00C0280B" w:rsidRPr="00C0280B" w:rsidRDefault="00C0280B" w:rsidP="00C0280B">
      <w:pPr>
        <w:spacing w:line="0" w:lineRule="atLeast"/>
        <w:rPr>
          <w:i/>
          <w:iCs/>
          <w:sz w:val="20"/>
          <w:szCs w:val="20"/>
          <w:u w:val="single"/>
        </w:rPr>
      </w:pPr>
      <w:r w:rsidRPr="00C0280B">
        <w:rPr>
          <w:i/>
          <w:iCs/>
          <w:sz w:val="20"/>
          <w:szCs w:val="20"/>
          <w:u w:val="single"/>
        </w:rPr>
        <w:t xml:space="preserve">Warunki i tryb otrzymania wyższej niż przewidywana rocznej oceny klasyfikacyjnej </w:t>
      </w:r>
    </w:p>
    <w:p w14:paraId="43D3E536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 xml:space="preserve">1. Uczeń lub jego rodzice (prawni opiekunowie) mają możliwość ubiegania się o uzyskanie wyższych niż przewidywane rocznych ocen klasyfikacyjnych z obowiązkowych i dodatkowych zajęć edukacyjnych. </w:t>
      </w:r>
    </w:p>
    <w:p w14:paraId="330D168B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lastRenderedPageBreak/>
        <w:t xml:space="preserve">2. Warunkiem uzyskania wyższej niż przewidywana rocznej oceny klasyfikacyjnej z obowiązkowych i dodatkowych zajęć edukacyjnych może być: </w:t>
      </w:r>
    </w:p>
    <w:p w14:paraId="1826A8BE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 xml:space="preserve">1) dłuższa usprawiedliwiona nieobecność na zajęciach edukacyjnych; </w:t>
      </w:r>
    </w:p>
    <w:p w14:paraId="1E243720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 xml:space="preserve">2) inne ważne sytuacje życiowe, które nauczyciel uzna za istotne. </w:t>
      </w:r>
    </w:p>
    <w:p w14:paraId="6E637FA5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3.  Sposoby sprawdzania osiągnięć edukacyjnych:</w:t>
      </w:r>
    </w:p>
    <w:p w14:paraId="7A24BF8B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Ocenie podlegają następujące formy pracy ucznia:</w:t>
      </w:r>
    </w:p>
    <w:p w14:paraId="6ED53932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- testy i sprawdziany</w:t>
      </w:r>
    </w:p>
    <w:p w14:paraId="05001D31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- kartkówki z trzech ostatnich tematów</w:t>
      </w:r>
    </w:p>
    <w:p w14:paraId="706C952C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- zadania i ćwiczenia wykonywane przez uczniów podczas lekcji</w:t>
      </w:r>
    </w:p>
    <w:p w14:paraId="10A3B7EB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- odpowiedzi ustne</w:t>
      </w:r>
    </w:p>
    <w:p w14:paraId="73D35A74" w14:textId="77777777" w:rsidR="00C0280B" w:rsidRPr="00C0280B" w:rsidRDefault="00C0280B" w:rsidP="00C0280B">
      <w:pPr>
        <w:spacing w:line="0" w:lineRule="atLeast"/>
        <w:rPr>
          <w:sz w:val="20"/>
          <w:szCs w:val="20"/>
        </w:rPr>
      </w:pPr>
      <w:r w:rsidRPr="00C0280B">
        <w:rPr>
          <w:sz w:val="20"/>
          <w:szCs w:val="20"/>
        </w:rPr>
        <w:t>- prace w zespole</w:t>
      </w:r>
    </w:p>
    <w:p w14:paraId="0E421B2A" w14:textId="77777777" w:rsidR="00C0280B" w:rsidRPr="00C0280B" w:rsidRDefault="00C0280B" w:rsidP="00C0280B">
      <w:pPr>
        <w:spacing w:line="0" w:lineRule="atLeast"/>
        <w:rPr>
          <w:i/>
          <w:iCs/>
          <w:sz w:val="20"/>
          <w:szCs w:val="20"/>
          <w:u w:val="single"/>
        </w:rPr>
      </w:pPr>
    </w:p>
    <w:p w14:paraId="6141B7BD" w14:textId="77777777" w:rsidR="0049066A" w:rsidRPr="004D7B0B" w:rsidRDefault="0049066A">
      <w:pPr>
        <w:spacing w:line="0" w:lineRule="atLeast"/>
        <w:rPr>
          <w:i/>
          <w:iCs/>
          <w:sz w:val="20"/>
          <w:szCs w:val="20"/>
          <w:u w:val="single"/>
        </w:rPr>
      </w:pPr>
    </w:p>
    <w:sectPr w:rsidR="0049066A" w:rsidRPr="004D7B0B" w:rsidSect="004D7B0B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B4B85" w14:textId="77777777" w:rsidR="005D7F31" w:rsidRDefault="005D7F31" w:rsidP="00254330">
      <w:pPr>
        <w:spacing w:after="0" w:line="240" w:lineRule="auto"/>
      </w:pPr>
      <w:r>
        <w:separator/>
      </w:r>
    </w:p>
  </w:endnote>
  <w:endnote w:type="continuationSeparator" w:id="0">
    <w:p w14:paraId="23096044" w14:textId="77777777" w:rsidR="005D7F31" w:rsidRDefault="005D7F31" w:rsidP="00254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NeueLTPro-Roman">
    <w:altName w:val="Arial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Humanst521EU-Normal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3" w:csb1="00000000"/>
  </w:font>
  <w:font w:name="Humanst521EU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1933831"/>
      <w:docPartObj>
        <w:docPartGallery w:val="Page Numbers (Bottom of Page)"/>
        <w:docPartUnique/>
      </w:docPartObj>
    </w:sdtPr>
    <w:sdtContent>
      <w:p w14:paraId="346E1EBB" w14:textId="77777777" w:rsidR="00C51B80" w:rsidRDefault="00C51B80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3048B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7F9DAD0B" w14:textId="77777777" w:rsidR="00C51B80" w:rsidRDefault="00C51B8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A135A" w14:textId="77777777" w:rsidR="005D7F31" w:rsidRDefault="005D7F31" w:rsidP="00254330">
      <w:pPr>
        <w:spacing w:after="0" w:line="240" w:lineRule="auto"/>
      </w:pPr>
      <w:r>
        <w:separator/>
      </w:r>
    </w:p>
  </w:footnote>
  <w:footnote w:type="continuationSeparator" w:id="0">
    <w:p w14:paraId="471FC9F1" w14:textId="77777777" w:rsidR="005D7F31" w:rsidRDefault="005D7F31" w:rsidP="002543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5CD"/>
    <w:rsid w:val="000120F2"/>
    <w:rsid w:val="00013C32"/>
    <w:rsid w:val="00013D7B"/>
    <w:rsid w:val="00015494"/>
    <w:rsid w:val="00021FD8"/>
    <w:rsid w:val="00022905"/>
    <w:rsid w:val="00024C1D"/>
    <w:rsid w:val="00030553"/>
    <w:rsid w:val="00030A4E"/>
    <w:rsid w:val="0003347C"/>
    <w:rsid w:val="00042A8A"/>
    <w:rsid w:val="00042F6F"/>
    <w:rsid w:val="000452D2"/>
    <w:rsid w:val="00045B25"/>
    <w:rsid w:val="0005008A"/>
    <w:rsid w:val="00057F78"/>
    <w:rsid w:val="00060FFA"/>
    <w:rsid w:val="0006163C"/>
    <w:rsid w:val="00062124"/>
    <w:rsid w:val="000739C1"/>
    <w:rsid w:val="00074920"/>
    <w:rsid w:val="0008181C"/>
    <w:rsid w:val="00086AA8"/>
    <w:rsid w:val="000936FD"/>
    <w:rsid w:val="0009472B"/>
    <w:rsid w:val="000A47BA"/>
    <w:rsid w:val="000B3F59"/>
    <w:rsid w:val="000C4781"/>
    <w:rsid w:val="000C67C6"/>
    <w:rsid w:val="000D5F5C"/>
    <w:rsid w:val="000E0D76"/>
    <w:rsid w:val="000E3B26"/>
    <w:rsid w:val="000E3FCB"/>
    <w:rsid w:val="000E42D1"/>
    <w:rsid w:val="000E651C"/>
    <w:rsid w:val="000F2829"/>
    <w:rsid w:val="000F363E"/>
    <w:rsid w:val="001047AF"/>
    <w:rsid w:val="00104FF4"/>
    <w:rsid w:val="00105CC0"/>
    <w:rsid w:val="001065DA"/>
    <w:rsid w:val="00106F38"/>
    <w:rsid w:val="001073EB"/>
    <w:rsid w:val="00111F11"/>
    <w:rsid w:val="00116C28"/>
    <w:rsid w:val="0012021A"/>
    <w:rsid w:val="00124D18"/>
    <w:rsid w:val="00125553"/>
    <w:rsid w:val="001274BF"/>
    <w:rsid w:val="00132BFD"/>
    <w:rsid w:val="00134829"/>
    <w:rsid w:val="0014228C"/>
    <w:rsid w:val="0015264C"/>
    <w:rsid w:val="00156694"/>
    <w:rsid w:val="00160B99"/>
    <w:rsid w:val="00163A35"/>
    <w:rsid w:val="001657B3"/>
    <w:rsid w:val="0017251E"/>
    <w:rsid w:val="00175C91"/>
    <w:rsid w:val="0018249A"/>
    <w:rsid w:val="00184BDB"/>
    <w:rsid w:val="00187072"/>
    <w:rsid w:val="00187422"/>
    <w:rsid w:val="0018777A"/>
    <w:rsid w:val="001A7A21"/>
    <w:rsid w:val="001B1A07"/>
    <w:rsid w:val="001B3363"/>
    <w:rsid w:val="001B430D"/>
    <w:rsid w:val="001B57A1"/>
    <w:rsid w:val="001B6312"/>
    <w:rsid w:val="001C0E42"/>
    <w:rsid w:val="001C3A08"/>
    <w:rsid w:val="001C3F47"/>
    <w:rsid w:val="001C4A78"/>
    <w:rsid w:val="001C5AE2"/>
    <w:rsid w:val="001C612B"/>
    <w:rsid w:val="001D274B"/>
    <w:rsid w:val="001D5861"/>
    <w:rsid w:val="001D77A0"/>
    <w:rsid w:val="001E141B"/>
    <w:rsid w:val="001E1866"/>
    <w:rsid w:val="001E18CC"/>
    <w:rsid w:val="001E25CD"/>
    <w:rsid w:val="001E3422"/>
    <w:rsid w:val="001E57B9"/>
    <w:rsid w:val="001E5A4C"/>
    <w:rsid w:val="001E7870"/>
    <w:rsid w:val="001F2BE5"/>
    <w:rsid w:val="001F6D09"/>
    <w:rsid w:val="00203138"/>
    <w:rsid w:val="00203F4A"/>
    <w:rsid w:val="00205D0D"/>
    <w:rsid w:val="0021059A"/>
    <w:rsid w:val="0021284F"/>
    <w:rsid w:val="0022296E"/>
    <w:rsid w:val="0022402E"/>
    <w:rsid w:val="00231594"/>
    <w:rsid w:val="0023354E"/>
    <w:rsid w:val="00233567"/>
    <w:rsid w:val="00254330"/>
    <w:rsid w:val="002638FC"/>
    <w:rsid w:val="00263DDB"/>
    <w:rsid w:val="00274D0B"/>
    <w:rsid w:val="00275B93"/>
    <w:rsid w:val="00295947"/>
    <w:rsid w:val="0029622D"/>
    <w:rsid w:val="002A4C13"/>
    <w:rsid w:val="002B4CB7"/>
    <w:rsid w:val="002C2109"/>
    <w:rsid w:val="002C3FB4"/>
    <w:rsid w:val="002C4EFE"/>
    <w:rsid w:val="002D27C4"/>
    <w:rsid w:val="002D6CB4"/>
    <w:rsid w:val="002E6E06"/>
    <w:rsid w:val="002F0110"/>
    <w:rsid w:val="002F13DD"/>
    <w:rsid w:val="002F269A"/>
    <w:rsid w:val="002F3EB9"/>
    <w:rsid w:val="002F5F3E"/>
    <w:rsid w:val="003023E1"/>
    <w:rsid w:val="0030244C"/>
    <w:rsid w:val="00310221"/>
    <w:rsid w:val="00315BA8"/>
    <w:rsid w:val="00324E38"/>
    <w:rsid w:val="00333349"/>
    <w:rsid w:val="003358A9"/>
    <w:rsid w:val="0033796F"/>
    <w:rsid w:val="003466C1"/>
    <w:rsid w:val="00347A74"/>
    <w:rsid w:val="00350872"/>
    <w:rsid w:val="00362356"/>
    <w:rsid w:val="00362ECA"/>
    <w:rsid w:val="00366AF8"/>
    <w:rsid w:val="00372EBD"/>
    <w:rsid w:val="00374483"/>
    <w:rsid w:val="00381B67"/>
    <w:rsid w:val="003832D4"/>
    <w:rsid w:val="00386681"/>
    <w:rsid w:val="00386A9D"/>
    <w:rsid w:val="003911C6"/>
    <w:rsid w:val="00397361"/>
    <w:rsid w:val="00397822"/>
    <w:rsid w:val="003A744D"/>
    <w:rsid w:val="003B1489"/>
    <w:rsid w:val="003B3C78"/>
    <w:rsid w:val="003C4AB3"/>
    <w:rsid w:val="003D2B8C"/>
    <w:rsid w:val="003D7A47"/>
    <w:rsid w:val="003E0110"/>
    <w:rsid w:val="003E426E"/>
    <w:rsid w:val="003F3C80"/>
    <w:rsid w:val="003F6F25"/>
    <w:rsid w:val="0040626E"/>
    <w:rsid w:val="00407DB0"/>
    <w:rsid w:val="004132DD"/>
    <w:rsid w:val="00417D40"/>
    <w:rsid w:val="00427BFB"/>
    <w:rsid w:val="00427F8C"/>
    <w:rsid w:val="0043051B"/>
    <w:rsid w:val="00431203"/>
    <w:rsid w:val="00433116"/>
    <w:rsid w:val="00442EEF"/>
    <w:rsid w:val="0044548A"/>
    <w:rsid w:val="00452667"/>
    <w:rsid w:val="00456A72"/>
    <w:rsid w:val="004629CD"/>
    <w:rsid w:val="00463983"/>
    <w:rsid w:val="0046466D"/>
    <w:rsid w:val="00465388"/>
    <w:rsid w:val="00466950"/>
    <w:rsid w:val="00474D1D"/>
    <w:rsid w:val="00475C6C"/>
    <w:rsid w:val="00480164"/>
    <w:rsid w:val="00483CCD"/>
    <w:rsid w:val="00486B17"/>
    <w:rsid w:val="0049066A"/>
    <w:rsid w:val="00490B14"/>
    <w:rsid w:val="00491C43"/>
    <w:rsid w:val="00496191"/>
    <w:rsid w:val="004B2704"/>
    <w:rsid w:val="004C671E"/>
    <w:rsid w:val="004C7AA8"/>
    <w:rsid w:val="004D1729"/>
    <w:rsid w:val="004D210F"/>
    <w:rsid w:val="004D67F5"/>
    <w:rsid w:val="004D7B0B"/>
    <w:rsid w:val="004E22C7"/>
    <w:rsid w:val="004E4A97"/>
    <w:rsid w:val="004F068D"/>
    <w:rsid w:val="004F1420"/>
    <w:rsid w:val="004F59B0"/>
    <w:rsid w:val="004F5A15"/>
    <w:rsid w:val="004F7A24"/>
    <w:rsid w:val="005000B1"/>
    <w:rsid w:val="00501491"/>
    <w:rsid w:val="00502C41"/>
    <w:rsid w:val="00503B2D"/>
    <w:rsid w:val="00507D3F"/>
    <w:rsid w:val="0051502E"/>
    <w:rsid w:val="00517FC4"/>
    <w:rsid w:val="00521A42"/>
    <w:rsid w:val="005239E8"/>
    <w:rsid w:val="005267B7"/>
    <w:rsid w:val="0053175C"/>
    <w:rsid w:val="00532E09"/>
    <w:rsid w:val="005335D2"/>
    <w:rsid w:val="00553B3A"/>
    <w:rsid w:val="00555CD3"/>
    <w:rsid w:val="00563CAA"/>
    <w:rsid w:val="00564B66"/>
    <w:rsid w:val="00571045"/>
    <w:rsid w:val="00571F56"/>
    <w:rsid w:val="00575CC2"/>
    <w:rsid w:val="00577BC3"/>
    <w:rsid w:val="00581911"/>
    <w:rsid w:val="00582307"/>
    <w:rsid w:val="005854AD"/>
    <w:rsid w:val="005857A1"/>
    <w:rsid w:val="005860DD"/>
    <w:rsid w:val="005901FD"/>
    <w:rsid w:val="00593606"/>
    <w:rsid w:val="00594B77"/>
    <w:rsid w:val="005A005A"/>
    <w:rsid w:val="005A42B3"/>
    <w:rsid w:val="005B133B"/>
    <w:rsid w:val="005B4D8B"/>
    <w:rsid w:val="005B7D06"/>
    <w:rsid w:val="005C1418"/>
    <w:rsid w:val="005C2E5C"/>
    <w:rsid w:val="005C393A"/>
    <w:rsid w:val="005C739F"/>
    <w:rsid w:val="005D0D29"/>
    <w:rsid w:val="005D11F8"/>
    <w:rsid w:val="005D7F31"/>
    <w:rsid w:val="005E1DAE"/>
    <w:rsid w:val="005E4A6B"/>
    <w:rsid w:val="005E6C03"/>
    <w:rsid w:val="005E6F5C"/>
    <w:rsid w:val="005F36D8"/>
    <w:rsid w:val="005F5A23"/>
    <w:rsid w:val="00611C4A"/>
    <w:rsid w:val="00614B8B"/>
    <w:rsid w:val="00615562"/>
    <w:rsid w:val="00616CD7"/>
    <w:rsid w:val="00617226"/>
    <w:rsid w:val="006178CA"/>
    <w:rsid w:val="00620045"/>
    <w:rsid w:val="00623D38"/>
    <w:rsid w:val="006303D2"/>
    <w:rsid w:val="00630DF3"/>
    <w:rsid w:val="00633596"/>
    <w:rsid w:val="00635738"/>
    <w:rsid w:val="00636BF6"/>
    <w:rsid w:val="00637771"/>
    <w:rsid w:val="00640768"/>
    <w:rsid w:val="00640A2B"/>
    <w:rsid w:val="00641E9B"/>
    <w:rsid w:val="00644D83"/>
    <w:rsid w:val="00646B3C"/>
    <w:rsid w:val="00651734"/>
    <w:rsid w:val="006529DE"/>
    <w:rsid w:val="00656427"/>
    <w:rsid w:val="00657421"/>
    <w:rsid w:val="00662E31"/>
    <w:rsid w:val="0067633B"/>
    <w:rsid w:val="0067663D"/>
    <w:rsid w:val="0067696C"/>
    <w:rsid w:val="00677036"/>
    <w:rsid w:val="00677773"/>
    <w:rsid w:val="00685509"/>
    <w:rsid w:val="00687F2B"/>
    <w:rsid w:val="006909DC"/>
    <w:rsid w:val="006967F0"/>
    <w:rsid w:val="00697838"/>
    <w:rsid w:val="006A0DE8"/>
    <w:rsid w:val="006A4E1D"/>
    <w:rsid w:val="006B5A73"/>
    <w:rsid w:val="006C7845"/>
    <w:rsid w:val="006C7F64"/>
    <w:rsid w:val="006D20F7"/>
    <w:rsid w:val="006D76CC"/>
    <w:rsid w:val="006E6C01"/>
    <w:rsid w:val="006F0A75"/>
    <w:rsid w:val="006F0F2F"/>
    <w:rsid w:val="006F6ED5"/>
    <w:rsid w:val="006F6F4A"/>
    <w:rsid w:val="0070193A"/>
    <w:rsid w:val="00703E44"/>
    <w:rsid w:val="007056AF"/>
    <w:rsid w:val="00705BDD"/>
    <w:rsid w:val="007067C7"/>
    <w:rsid w:val="007220A0"/>
    <w:rsid w:val="00724307"/>
    <w:rsid w:val="007256F4"/>
    <w:rsid w:val="007277D9"/>
    <w:rsid w:val="007308EB"/>
    <w:rsid w:val="00730D3B"/>
    <w:rsid w:val="00731C44"/>
    <w:rsid w:val="007431F6"/>
    <w:rsid w:val="007448BE"/>
    <w:rsid w:val="00744C8D"/>
    <w:rsid w:val="00745A3F"/>
    <w:rsid w:val="00747016"/>
    <w:rsid w:val="00751CDF"/>
    <w:rsid w:val="00751D3A"/>
    <w:rsid w:val="00751D88"/>
    <w:rsid w:val="00752440"/>
    <w:rsid w:val="00752C69"/>
    <w:rsid w:val="00753481"/>
    <w:rsid w:val="00753D09"/>
    <w:rsid w:val="00754724"/>
    <w:rsid w:val="007549C8"/>
    <w:rsid w:val="00754BEA"/>
    <w:rsid w:val="007647D0"/>
    <w:rsid w:val="0076497A"/>
    <w:rsid w:val="00772186"/>
    <w:rsid w:val="0077255B"/>
    <w:rsid w:val="007733F3"/>
    <w:rsid w:val="00773E5E"/>
    <w:rsid w:val="00774E1F"/>
    <w:rsid w:val="00787C19"/>
    <w:rsid w:val="00791377"/>
    <w:rsid w:val="007A1B29"/>
    <w:rsid w:val="007A213E"/>
    <w:rsid w:val="007A2A91"/>
    <w:rsid w:val="007A755C"/>
    <w:rsid w:val="007B03A3"/>
    <w:rsid w:val="007B4F11"/>
    <w:rsid w:val="007B7E1B"/>
    <w:rsid w:val="007C1DA0"/>
    <w:rsid w:val="007D7EE2"/>
    <w:rsid w:val="007E034C"/>
    <w:rsid w:val="007E43DC"/>
    <w:rsid w:val="007E4512"/>
    <w:rsid w:val="007E4E68"/>
    <w:rsid w:val="007E6F2C"/>
    <w:rsid w:val="007F13F6"/>
    <w:rsid w:val="007F291B"/>
    <w:rsid w:val="008035A6"/>
    <w:rsid w:val="008049F8"/>
    <w:rsid w:val="00816324"/>
    <w:rsid w:val="0082170F"/>
    <w:rsid w:val="00827E48"/>
    <w:rsid w:val="00835F1F"/>
    <w:rsid w:val="008404DB"/>
    <w:rsid w:val="008550BB"/>
    <w:rsid w:val="00857B3D"/>
    <w:rsid w:val="00857DC5"/>
    <w:rsid w:val="00872017"/>
    <w:rsid w:val="0087215A"/>
    <w:rsid w:val="0087419A"/>
    <w:rsid w:val="008811B3"/>
    <w:rsid w:val="0088753C"/>
    <w:rsid w:val="00893935"/>
    <w:rsid w:val="00894EDF"/>
    <w:rsid w:val="008960BE"/>
    <w:rsid w:val="008A17A4"/>
    <w:rsid w:val="008A207D"/>
    <w:rsid w:val="008B7214"/>
    <w:rsid w:val="008C650E"/>
    <w:rsid w:val="008C7054"/>
    <w:rsid w:val="008C7ACC"/>
    <w:rsid w:val="008D1398"/>
    <w:rsid w:val="008D6761"/>
    <w:rsid w:val="008D6A9C"/>
    <w:rsid w:val="008E261F"/>
    <w:rsid w:val="008E53E5"/>
    <w:rsid w:val="00900824"/>
    <w:rsid w:val="00901BCD"/>
    <w:rsid w:val="009024D4"/>
    <w:rsid w:val="00904BE6"/>
    <w:rsid w:val="00915D77"/>
    <w:rsid w:val="00920210"/>
    <w:rsid w:val="00921975"/>
    <w:rsid w:val="009241A0"/>
    <w:rsid w:val="009274DC"/>
    <w:rsid w:val="00927D9F"/>
    <w:rsid w:val="00931072"/>
    <w:rsid w:val="009422B7"/>
    <w:rsid w:val="0094281B"/>
    <w:rsid w:val="009428AA"/>
    <w:rsid w:val="00942AD2"/>
    <w:rsid w:val="00944566"/>
    <w:rsid w:val="009451D4"/>
    <w:rsid w:val="0094632E"/>
    <w:rsid w:val="0095022E"/>
    <w:rsid w:val="00951ADD"/>
    <w:rsid w:val="00956F4B"/>
    <w:rsid w:val="009602AB"/>
    <w:rsid w:val="00961118"/>
    <w:rsid w:val="009615CF"/>
    <w:rsid w:val="00962A60"/>
    <w:rsid w:val="00965AD2"/>
    <w:rsid w:val="0097064A"/>
    <w:rsid w:val="009706CA"/>
    <w:rsid w:val="009763C6"/>
    <w:rsid w:val="00976B80"/>
    <w:rsid w:val="009774CE"/>
    <w:rsid w:val="00980827"/>
    <w:rsid w:val="00983723"/>
    <w:rsid w:val="0099080A"/>
    <w:rsid w:val="0099220F"/>
    <w:rsid w:val="0099353C"/>
    <w:rsid w:val="00994150"/>
    <w:rsid w:val="00995C5F"/>
    <w:rsid w:val="00996600"/>
    <w:rsid w:val="00996F6B"/>
    <w:rsid w:val="009B11D6"/>
    <w:rsid w:val="009B29EE"/>
    <w:rsid w:val="009B3307"/>
    <w:rsid w:val="009B37DD"/>
    <w:rsid w:val="009B7C52"/>
    <w:rsid w:val="009C47B7"/>
    <w:rsid w:val="009D236A"/>
    <w:rsid w:val="009D256E"/>
    <w:rsid w:val="009D4451"/>
    <w:rsid w:val="009D5D46"/>
    <w:rsid w:val="009E0EB7"/>
    <w:rsid w:val="009E2C96"/>
    <w:rsid w:val="009E72B8"/>
    <w:rsid w:val="009F029A"/>
    <w:rsid w:val="009F0C1C"/>
    <w:rsid w:val="009F2DFE"/>
    <w:rsid w:val="009F349D"/>
    <w:rsid w:val="009F53C1"/>
    <w:rsid w:val="00A01EED"/>
    <w:rsid w:val="00A0355A"/>
    <w:rsid w:val="00A063ED"/>
    <w:rsid w:val="00A10192"/>
    <w:rsid w:val="00A108D4"/>
    <w:rsid w:val="00A16204"/>
    <w:rsid w:val="00A1743A"/>
    <w:rsid w:val="00A17CE7"/>
    <w:rsid w:val="00A22DF3"/>
    <w:rsid w:val="00A243E9"/>
    <w:rsid w:val="00A26920"/>
    <w:rsid w:val="00A313F1"/>
    <w:rsid w:val="00A352A1"/>
    <w:rsid w:val="00A36071"/>
    <w:rsid w:val="00A379D0"/>
    <w:rsid w:val="00A42DE1"/>
    <w:rsid w:val="00A50D24"/>
    <w:rsid w:val="00A51B22"/>
    <w:rsid w:val="00A53C67"/>
    <w:rsid w:val="00A56D49"/>
    <w:rsid w:val="00A64CC0"/>
    <w:rsid w:val="00A67163"/>
    <w:rsid w:val="00A67EF1"/>
    <w:rsid w:val="00A7565A"/>
    <w:rsid w:val="00A76984"/>
    <w:rsid w:val="00A849CD"/>
    <w:rsid w:val="00A8741E"/>
    <w:rsid w:val="00A960F3"/>
    <w:rsid w:val="00A963B7"/>
    <w:rsid w:val="00A96AEC"/>
    <w:rsid w:val="00AA2343"/>
    <w:rsid w:val="00AA5526"/>
    <w:rsid w:val="00AB5591"/>
    <w:rsid w:val="00AB6760"/>
    <w:rsid w:val="00AB6BFB"/>
    <w:rsid w:val="00AC26C0"/>
    <w:rsid w:val="00AC5219"/>
    <w:rsid w:val="00AD071E"/>
    <w:rsid w:val="00AD1348"/>
    <w:rsid w:val="00AD2F0C"/>
    <w:rsid w:val="00AD49EA"/>
    <w:rsid w:val="00AD7BF2"/>
    <w:rsid w:val="00AE4EC5"/>
    <w:rsid w:val="00AF1006"/>
    <w:rsid w:val="00AF51D1"/>
    <w:rsid w:val="00B00CF7"/>
    <w:rsid w:val="00B01DD6"/>
    <w:rsid w:val="00B023F9"/>
    <w:rsid w:val="00B040B6"/>
    <w:rsid w:val="00B06E29"/>
    <w:rsid w:val="00B102AA"/>
    <w:rsid w:val="00B10C67"/>
    <w:rsid w:val="00B236E0"/>
    <w:rsid w:val="00B26744"/>
    <w:rsid w:val="00B37F84"/>
    <w:rsid w:val="00B4269A"/>
    <w:rsid w:val="00B47064"/>
    <w:rsid w:val="00B51F45"/>
    <w:rsid w:val="00B52370"/>
    <w:rsid w:val="00B6383A"/>
    <w:rsid w:val="00B65196"/>
    <w:rsid w:val="00B708AE"/>
    <w:rsid w:val="00B80E04"/>
    <w:rsid w:val="00B86B1B"/>
    <w:rsid w:val="00B90215"/>
    <w:rsid w:val="00B93477"/>
    <w:rsid w:val="00B9553B"/>
    <w:rsid w:val="00BA68F3"/>
    <w:rsid w:val="00BA7308"/>
    <w:rsid w:val="00BA7DA0"/>
    <w:rsid w:val="00BB3B19"/>
    <w:rsid w:val="00BC02E4"/>
    <w:rsid w:val="00BC5EB7"/>
    <w:rsid w:val="00BD1001"/>
    <w:rsid w:val="00BD13A8"/>
    <w:rsid w:val="00BD7FBE"/>
    <w:rsid w:val="00BE4FC2"/>
    <w:rsid w:val="00BF0A35"/>
    <w:rsid w:val="00BF21A4"/>
    <w:rsid w:val="00BF2B1F"/>
    <w:rsid w:val="00BF5D1A"/>
    <w:rsid w:val="00BF71EA"/>
    <w:rsid w:val="00C010E9"/>
    <w:rsid w:val="00C0280B"/>
    <w:rsid w:val="00C02A58"/>
    <w:rsid w:val="00C02D1A"/>
    <w:rsid w:val="00C05136"/>
    <w:rsid w:val="00C10ED8"/>
    <w:rsid w:val="00C11251"/>
    <w:rsid w:val="00C11C8A"/>
    <w:rsid w:val="00C11FE5"/>
    <w:rsid w:val="00C20916"/>
    <w:rsid w:val="00C22F7F"/>
    <w:rsid w:val="00C24737"/>
    <w:rsid w:val="00C27133"/>
    <w:rsid w:val="00C274CF"/>
    <w:rsid w:val="00C32E66"/>
    <w:rsid w:val="00C3517B"/>
    <w:rsid w:val="00C40228"/>
    <w:rsid w:val="00C4078E"/>
    <w:rsid w:val="00C428EE"/>
    <w:rsid w:val="00C44CEA"/>
    <w:rsid w:val="00C47616"/>
    <w:rsid w:val="00C502E5"/>
    <w:rsid w:val="00C51B80"/>
    <w:rsid w:val="00C538D0"/>
    <w:rsid w:val="00C57839"/>
    <w:rsid w:val="00C6027D"/>
    <w:rsid w:val="00C60375"/>
    <w:rsid w:val="00C67EEA"/>
    <w:rsid w:val="00C71694"/>
    <w:rsid w:val="00C71B30"/>
    <w:rsid w:val="00C71FD6"/>
    <w:rsid w:val="00C7607C"/>
    <w:rsid w:val="00C777A3"/>
    <w:rsid w:val="00C77C95"/>
    <w:rsid w:val="00C84DBB"/>
    <w:rsid w:val="00C87EB8"/>
    <w:rsid w:val="00C93DA5"/>
    <w:rsid w:val="00C9583B"/>
    <w:rsid w:val="00CA0ABD"/>
    <w:rsid w:val="00CA1932"/>
    <w:rsid w:val="00CA1A3B"/>
    <w:rsid w:val="00CA4C85"/>
    <w:rsid w:val="00CA56C6"/>
    <w:rsid w:val="00CB3D86"/>
    <w:rsid w:val="00CB59F8"/>
    <w:rsid w:val="00CB5F9C"/>
    <w:rsid w:val="00CB7083"/>
    <w:rsid w:val="00CD168A"/>
    <w:rsid w:val="00CD34D8"/>
    <w:rsid w:val="00CE38FD"/>
    <w:rsid w:val="00CE4061"/>
    <w:rsid w:val="00CE51B8"/>
    <w:rsid w:val="00CF1D98"/>
    <w:rsid w:val="00CF771A"/>
    <w:rsid w:val="00D01076"/>
    <w:rsid w:val="00D01AF3"/>
    <w:rsid w:val="00D21255"/>
    <w:rsid w:val="00D25584"/>
    <w:rsid w:val="00D2573A"/>
    <w:rsid w:val="00D26F8B"/>
    <w:rsid w:val="00D312F7"/>
    <w:rsid w:val="00D408A8"/>
    <w:rsid w:val="00D41E4F"/>
    <w:rsid w:val="00D55148"/>
    <w:rsid w:val="00D55652"/>
    <w:rsid w:val="00D60671"/>
    <w:rsid w:val="00D620C7"/>
    <w:rsid w:val="00D63B86"/>
    <w:rsid w:val="00D730EB"/>
    <w:rsid w:val="00D74E07"/>
    <w:rsid w:val="00D74E21"/>
    <w:rsid w:val="00D83254"/>
    <w:rsid w:val="00D92CE7"/>
    <w:rsid w:val="00D972FD"/>
    <w:rsid w:val="00DA0FC3"/>
    <w:rsid w:val="00DB3F91"/>
    <w:rsid w:val="00DB6B11"/>
    <w:rsid w:val="00DC0920"/>
    <w:rsid w:val="00DC3B5D"/>
    <w:rsid w:val="00DC4BC2"/>
    <w:rsid w:val="00DD366E"/>
    <w:rsid w:val="00DD5088"/>
    <w:rsid w:val="00DD7375"/>
    <w:rsid w:val="00DE1F7C"/>
    <w:rsid w:val="00DF0176"/>
    <w:rsid w:val="00DF6163"/>
    <w:rsid w:val="00DF7FA4"/>
    <w:rsid w:val="00E12C7E"/>
    <w:rsid w:val="00E17F82"/>
    <w:rsid w:val="00E2036A"/>
    <w:rsid w:val="00E22BF8"/>
    <w:rsid w:val="00E310A5"/>
    <w:rsid w:val="00E31930"/>
    <w:rsid w:val="00E34860"/>
    <w:rsid w:val="00E36BB0"/>
    <w:rsid w:val="00E424E3"/>
    <w:rsid w:val="00E542BB"/>
    <w:rsid w:val="00E62102"/>
    <w:rsid w:val="00E71BC7"/>
    <w:rsid w:val="00E7448E"/>
    <w:rsid w:val="00E8038D"/>
    <w:rsid w:val="00E80877"/>
    <w:rsid w:val="00E81573"/>
    <w:rsid w:val="00E8203B"/>
    <w:rsid w:val="00E852E4"/>
    <w:rsid w:val="00E85776"/>
    <w:rsid w:val="00E86B6B"/>
    <w:rsid w:val="00E902EF"/>
    <w:rsid w:val="00E92057"/>
    <w:rsid w:val="00E967DA"/>
    <w:rsid w:val="00EB6C0F"/>
    <w:rsid w:val="00EB6EDA"/>
    <w:rsid w:val="00EB7A78"/>
    <w:rsid w:val="00EC1646"/>
    <w:rsid w:val="00EC30AB"/>
    <w:rsid w:val="00EC31D6"/>
    <w:rsid w:val="00ED387B"/>
    <w:rsid w:val="00ED3F5E"/>
    <w:rsid w:val="00ED5CBE"/>
    <w:rsid w:val="00EE0CBE"/>
    <w:rsid w:val="00EE5C4D"/>
    <w:rsid w:val="00EE68FF"/>
    <w:rsid w:val="00EF098B"/>
    <w:rsid w:val="00F04C01"/>
    <w:rsid w:val="00F06058"/>
    <w:rsid w:val="00F06BE9"/>
    <w:rsid w:val="00F11EA7"/>
    <w:rsid w:val="00F216E5"/>
    <w:rsid w:val="00F24CF2"/>
    <w:rsid w:val="00F27710"/>
    <w:rsid w:val="00F3048B"/>
    <w:rsid w:val="00F37124"/>
    <w:rsid w:val="00F41547"/>
    <w:rsid w:val="00F42B5A"/>
    <w:rsid w:val="00F47EC7"/>
    <w:rsid w:val="00F55C2E"/>
    <w:rsid w:val="00F57C17"/>
    <w:rsid w:val="00F70BC3"/>
    <w:rsid w:val="00F7267D"/>
    <w:rsid w:val="00F72B25"/>
    <w:rsid w:val="00F747A6"/>
    <w:rsid w:val="00F77B41"/>
    <w:rsid w:val="00F77FD0"/>
    <w:rsid w:val="00F90966"/>
    <w:rsid w:val="00F9390A"/>
    <w:rsid w:val="00FA2454"/>
    <w:rsid w:val="00FA3576"/>
    <w:rsid w:val="00FA7B22"/>
    <w:rsid w:val="00FB4F8A"/>
    <w:rsid w:val="00FC0E53"/>
    <w:rsid w:val="00FC73CD"/>
    <w:rsid w:val="00FC7C8B"/>
    <w:rsid w:val="00FD2188"/>
    <w:rsid w:val="00FD5948"/>
    <w:rsid w:val="00FD61A1"/>
    <w:rsid w:val="00FD653B"/>
    <w:rsid w:val="00FD6BF5"/>
    <w:rsid w:val="00FD6F57"/>
    <w:rsid w:val="00FE234C"/>
    <w:rsid w:val="00FE50D2"/>
    <w:rsid w:val="00FE7408"/>
    <w:rsid w:val="00FF081C"/>
    <w:rsid w:val="00FF12D9"/>
    <w:rsid w:val="0940AF54"/>
    <w:rsid w:val="0AE14FA2"/>
    <w:rsid w:val="0F8D39D4"/>
    <w:rsid w:val="51FF058B"/>
    <w:rsid w:val="613D9B5E"/>
    <w:rsid w:val="76A5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FCF93"/>
  <w15:docId w15:val="{F1BD4F35-CF96-4E41-9F88-1BD9C5B38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607C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76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D5C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CBE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43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43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433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852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52E4"/>
  </w:style>
  <w:style w:type="paragraph" w:styleId="Stopka">
    <w:name w:val="footer"/>
    <w:basedOn w:val="Normalny"/>
    <w:link w:val="StopkaZnak"/>
    <w:uiPriority w:val="99"/>
    <w:unhideWhenUsed/>
    <w:rsid w:val="00E852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52E4"/>
  </w:style>
  <w:style w:type="paragraph" w:styleId="Bezodstpw">
    <w:name w:val="No Spacing"/>
    <w:uiPriority w:val="1"/>
    <w:qFormat/>
    <w:rsid w:val="006909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2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AF6CF6-2033-46D8-8D13-4B2583600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2290</Words>
  <Characters>13746</Characters>
  <Application>Microsoft Office Word</Application>
  <DocSecurity>0</DocSecurity>
  <Lines>114</Lines>
  <Paragraphs>32</Paragraphs>
  <ScaleCrop>false</ScaleCrop>
  <Company>Ministrerstwo Edukacji Narodowej</Company>
  <LinksUpToDate>false</LinksUpToDate>
  <CharactersWithSpaces>16004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Pietrzak</dc:creator>
  <cp:lastModifiedBy>d f</cp:lastModifiedBy>
  <cp:revision>2</cp:revision>
  <dcterms:created xsi:type="dcterms:W3CDTF">2025-09-01T19:10:00Z</dcterms:created>
  <dcterms:modified xsi:type="dcterms:W3CDTF">2025-09-01T19:10:00Z</dcterms:modified>
</cp:coreProperties>
</file>